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GOLD_CASE_001</w:t>
      </w:r>
    </w:p>
    <w:p>
      <w:pPr>
        <w:jc w:val="center"/>
      </w:pPr>
      <w:r>
        <w:rPr>
          <w:rFonts w:ascii="Noto Serif CJK SC" w:hAnsi="Noto Serif CJK SC" w:eastAsia="Noto Serif CJK SC"/>
          <w:b/>
          <w:sz w:val="40"/>
        </w:rPr>
        <w:t>隐藏评测说明</w:t>
      </w:r>
    </w:p>
    <w:p>
      <w:pPr>
        <w:jc w:val="center"/>
      </w:pPr>
      <w:r>
        <w:rPr>
          <w:rFonts w:ascii="Noto Serif CJK SC" w:hAnsi="Noto Serif CJK SC" w:eastAsia="Noto Serif CJK SC"/>
          <w:b w:val="0"/>
          <w:sz w:val="22"/>
        </w:rPr>
        <w:t>仅供评测方使用｜不得提供给被测试模型</w:t>
      </w:r>
    </w:p>
    <w:p>
      <w:r>
        <w:rPr>
          <w:rFonts w:ascii="Noto Serif CJK SC" w:hAnsi="Noto Serif CJK SC" w:eastAsia="Noto Serif CJK SC"/>
          <w:b/>
          <w:sz w:val="30"/>
        </w:rPr>
        <w:t>一、固定资金真值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</w:t>
            </w:r>
          </w:p>
        </w:tc>
        <w:tc>
          <w:tcPr>
            <w:tcW w:type="dxa" w:w="4479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Gold值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朱某累计交付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7,368,000元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何某/关联账户累计返还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1,326,000元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未返还差额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6,042,000元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实际进入证券账户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1,268,000元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偿还既有债务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2,410,000元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个人消费等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1,744,000元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转亲属/关联人员</w:t>
            </w:r>
          </w:p>
        </w:tc>
        <w:tc>
          <w:tcPr>
            <w:tcW w:type="dxa" w:w="447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620,000元</w:t>
            </w:r>
          </w:p>
        </w:tc>
      </w:tr>
    </w:tbl>
    <w:p>
      <w:r>
        <w:rPr>
          <w:rFonts w:ascii="Noto Serif CJK SC" w:hAnsi="Noto Serif CJK SC" w:eastAsia="Noto Serif CJK SC"/>
          <w:b/>
          <w:sz w:val="30"/>
        </w:rPr>
        <w:t>二、设计的关键冲突与推理点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1. 何某第一次讯问低报林某账户代收金额，银行流水与第二次讯问纠正为1,250,000元。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2. 朱某称何某把林某账户描述为“项目财务/归集账户”；林某明确否认自己是项目财务人员。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3. 何某称朱某知道资金可以“周转”；朱某明确否认授权用于旧债和个人消费。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4. 何某确有1,268,000元进入真实证券投资，但该投资并非其所宣称项目，不得机械推出该部分当然排除于诈骗事实之外。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5. 返回朱某1,326,000元的交易事实可由银行证明，但“收益/分红/本金”性质不能只靠流水备注认定。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6. 同一交易在付款方和收款方流水中各出现一次，必须去重；同时存在同日同额但不同付款方的干扰交易，不能仅凭日期+金额判重。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7. 向信用卡中心支付312,000元只直接证明“信用卡还款”，不能在缺少信用卡账单时直接认定原始消费内容。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8. 王某、刘某证言能够证明1,670,000元旧债性质；其余陈某480,000元、孙某260,000元的旧债性质主要依赖其他未单列言词证据，模型应注意证据支持层级。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53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合成测试材料｜仅用于法律基础模型评测｜非真实案件材料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