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被害人陈述笔录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被害人：刘某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2025年8月3日 09:30-11:20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民警李某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民警王某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被询问人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刘某，女，1983年生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身份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本案被害人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你是如何认识陈某的？他对你如何介绍“星岚储能一期项目”？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于2025年3月经朋友介绍认识陈某。陈某说他正在参与“星岚储能一期项目”，项目已经进入设备采购阶段，有一部分内部投资份额，可以由熟人参与。我问过风险，他说项目真实、有设备和合作方，资金主要用于项目采购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你先后向陈某支付过多少投资款？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我先后向陈某本人账户转了三笔钱，每笔80万元，共240万元。第一笔是2025年3月20日，第二笔是4月6日，第三笔是4月25日。陈某当时一直说这是一期项目投资款。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2025年5月，陈某是否让你追加投资？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到了5月初，陈某又说前面有投资人退出，空出120万元内部份额，让我追加。我于5月2日先给陈某本人账户转了60万元，5月12日又按陈某发来的账户给“马会计”转了60万元。陈某在聊天里把那个人叫“马会计”，我理解这个账户就是项目财务收款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你是否认识收到上述款项的账户实际持有人？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后来我知道这个账户户名实际是马某。我本人没有见过马某，也不知道马某是不是项目公司的正式工作人员。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你是否收到过转回的款项？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7月以后，我收到过几笔钱。陈某本人给我转过30万元，摘要写“收益”；马某给我转过15万元，摘要写“退款”；陈某后来又给我转25万元，摘要写“周转”。陈某说这些都是本金和收益安排，但我当时理解其中至少有些钱是为了让我继续相信项目，我不能确认每一笔到底是什么性质。</w:t>
      </w:r>
    </w:p>
    <w:p>
      <w:pPr>
        <w:spacing w:lineRule="exact" w:line="480" w:before="120" w:after="0"/>
        <w:jc w:val="left"/>
        <w:ind w:firstLineChars="200" w:firstLine="560"/>
      </w:pPr>
      <w:r>
        <w:rPr>
          <w:rFonts w:ascii="Times New Roman" w:hAnsi="Times New Roman" w:eastAsia="楷体"/>
          <w:b w:val="0"/>
          <w:sz w:val="28"/>
        </w:rPr>
        <w:t>说明：刘某称其并未因收到上述转回款项而与陈某重新结算投资份额，也未形成书面解除或清算协议。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被询问人核对意见：以上笔录我已阅读（听读），与我陈述一致。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被询问人：刘某（签名处略）    2025年8月3日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