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120"/>
        <w:jc w:val="center"/>
      </w:pPr>
      <w:r>
        <w:rPr>
          <w:rFonts w:ascii="SimHei" w:hAnsi="SimHei" w:eastAsia="黑体"/>
          <w:b w:val="0"/>
          <w:sz w:val="44"/>
        </w:rPr>
        <w:t>北京市某区人民检察院</w:t>
      </w:r>
    </w:p>
    <w:p>
      <w:pPr>
        <w:spacing w:lineRule="auto" w:line="240" w:before="0" w:after="360"/>
        <w:jc w:val="center"/>
      </w:pPr>
      <w:r>
        <w:rPr>
          <w:rFonts w:ascii="SimHei" w:hAnsi="SimHei" w:eastAsia="黑体"/>
          <w:b w:val="0"/>
          <w:sz w:val="44"/>
        </w:rPr>
        <w:t>起 诉 书</w:t>
      </w:r>
    </w:p>
    <w:p>
      <w:pPr>
        <w:spacing w:lineRule="auto" w:line="240" w:before="0" w:after="240"/>
        <w:jc w:val="center"/>
      </w:pPr>
      <w:r>
        <w:rPr>
          <w:rFonts w:ascii="Times New Roman" w:hAnsi="Times New Roman" w:eastAsia="仿宋"/>
          <w:b w:val="0"/>
          <w:sz w:val="32"/>
        </w:rPr>
        <w:t>京某检刑诉〔2026〕86号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被告人何某，男，1987年6月出生，公民身份号码已隐去，汉族，大学文化，无固定职业，户籍所在地北京市某区。因涉嫌诈骗罪，于2026年2月18日被北京市公安局某分局刑事拘留；同年3月25日经本院批准，被依法逮捕。现羁押于北京市某区看守所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本案由北京市公安局某分局侦查终结，以被告人何某涉嫌诈骗罪，于2026年5月20日向本院移送审查起诉。本院受理后，依法告知被告人有权委托辩护人，依法讯问了被告人，听取了辩护人的意见，审查了全部案件材料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经依法审查查明：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2025年初，被告人何某因个人债务、日常消费及资金周转需要，在其本人并未取得任何“内部投资份额”，亦无能力按照其所述方式保证投资本金及固定收益的情况下，以投资“云岭新材股权增值项目”为名向被害人朱某募集资金。何某向朱某宣称其能够通过特殊渠道取得项目内部份额，项目将在融资、资产重组后实现显著增值，投资本金安全可控，可按阶段获得收益并随时退出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为取得朱某信任，何某通过微信向朱某发送其自行整理、修改的项目介绍、估值测算、收益测算等材料，并多次以“内部额度即将关闭”“需追加保证金”“二期份额需要补足”等理由催促朱某追加资金。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2025年3月12日至2025年12月23日，朱某基于上述陈述产生错误认识，先后18次按照何某指示，将资金转入何某本人名下招商银行账户、中国工商银行账户，以及何某指定的林某名下中国银行账户，累计人民币7,368,000元。进入林某账户的资金共计人民币1,250,000元，林某后续按照何某指示向何某本人账户、何某亲属及其他账户转账，并曾向朱某转回部分钱款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何某取得上述资金后，未按照其向朱某所称的“云岭新材股权增值项目”进行投资。期间，何某确有部分资金转入其本人证券资金账户，用于股票、基金等证券交易，但该等交易与其向朱某所称项目无关；其余大量资金被用于偿还何某此前形成的个人借款及经营欠款、信用卡还款、购车、装修、日常消费、现金支取及向亲属、朋友转账等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在持续取得朱某资金过程中，为维持朱某对项目真实性及盈利能力的信任，何某陆续以“一期收益”“项目分红”“季度收益”“退出部分份额”“项目收益”“部分本金”“退还本金”等名义，通过本人账户及林某账户向朱某转回资金。经银行流水核对，2025年4月18日至2026年1月8日累计转回人民币1,326,000元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2025年12月底至2026年1月，朱某多次要求何某提供项目正式合同、股权认购凭证、资金托管凭证及剩余资金退出安排。何某未能提供能够证明其所称项目及投资份额真实存在的材料，并以项目审计、资金冻结、年底结算等理由继续拖延。后经查，何某未获得相关项目主体授权，其向朱某发送的所谓“内部份额”“保本安排”及部分收益测算并无真实依据。朱某遂报案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案发后，何某在讯问中承认朱某累计向其本人及其指定账户转入7,368,000元，承认其并无书面项目授权、正式股权认购资格或对朱某所承诺的本金保障安排，并承认部分资金被其用于偿还既有债务和个人支出，但辩称其主观上仍希望通过其他投资盈利后向朱某返还资金，不具有非法占有目的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认定上述事实的证据如下：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1. 被害人朱某的陈述及其提供的微信聊天记录、转账记录；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2. 被告人何某的供述与辩解；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3. 证人林某、王某、刘某、周某等人的证言；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4. 朱某、何某、林某名下相关银行账户交易明细及银行回单；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5. 何某名下证券资金账户的资金流水及交易记录；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6. 涉案项目相关电子文件、项目介绍材料、收益测算文件及电子数据提取材料；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7. 相关项目主体出具的情况说明、工商登记资料及公安机关制作的核查材料；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8. 其他能够相互印证的书证、电子数据。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本院认为，被告人何某以非法占有为目的，采用虚构事实、隐瞒真相的方法，使被害人朱某陷入错误认识并处分财产，骗取财物数额特别巨大，其行为触犯《中华人民共和国刑法》第二百六十六条，犯罪事实清楚，证据确实、充分，应当以诈骗罪追究其刑事责任。根据《中华人民共和国刑事诉讼法》第一百七十六条之规定，提起公诉，请依法判处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此致</w:t>
      </w:r>
    </w:p>
    <w:p>
      <w:pPr>
        <w:spacing w:lineRule="exact" w:line="560" w:before="0" w:after="0"/>
        <w:jc w:val="left"/>
        <w:ind w:firstLineChars="0" w:firstLine="0" w:leftChars="0" w:left="0"/>
      </w:pPr>
      <w:r>
        <w:rPr>
          <w:rFonts w:ascii="Times New Roman" w:hAnsi="Times New Roman" w:eastAsia="仿宋"/>
          <w:b w:val="0"/>
          <w:sz w:val="32"/>
        </w:rPr>
        <w:t>北京市某区人民法院</w:t>
      </w:r>
    </w:p>
    <w:p>
      <w:pPr>
        <w:spacing w:lineRule="exact" w:line="560" w:before="0" w:after="0"/>
        <w:jc w:val="right"/>
        <w:ind w:firstLineChars="0" w:firstLine="0" w:leftChars="0" w:left="0"/>
      </w:pPr>
      <w:r>
        <w:rPr>
          <w:rFonts w:ascii="Times New Roman" w:hAnsi="Times New Roman" w:eastAsia="仿宋"/>
          <w:b w:val="0"/>
          <w:sz w:val="32"/>
        </w:rPr>
        <w:t>检察官：李某某</w:t>
      </w:r>
    </w:p>
    <w:p>
      <w:pPr>
        <w:spacing w:lineRule="exact" w:line="560" w:before="0" w:after="0"/>
        <w:jc w:val="right"/>
        <w:ind w:firstLineChars="0" w:firstLine="0" w:leftChars="0" w:left="0"/>
      </w:pPr>
      <w:r>
        <w:rPr>
          <w:rFonts w:ascii="Times New Roman" w:hAnsi="Times New Roman" w:eastAsia="仿宋"/>
          <w:b w:val="0"/>
          <w:sz w:val="32"/>
        </w:rPr>
        <w:t>2026年7月18日</w:t>
      </w:r>
    </w:p>
    <w:p>
      <w:pPr>
        <w:spacing w:lineRule="exact" w:line="560" w:before="0" w:after="0"/>
        <w:jc w:val="left"/>
        <w:ind w:firstLineChars="0" w:firstLine="0" w:leftChars="0" w:left="0"/>
      </w:pPr>
      <w:r>
        <w:rPr>
          <w:rFonts w:ascii="Times New Roman" w:hAnsi="Times New Roman" w:eastAsia="仿宋"/>
          <w:b w:val="0"/>
          <w:sz w:val="32"/>
        </w:rPr>
        <w:t>附：1. 被告人何某现羁押于北京市某区看守所；</w:t>
        <w:br/>
        <w:t xml:space="preserve">    2. 案卷材料及证据目录随案移送。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