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b/>
          <w:bCs/>
          <w:color w:val="2E75B6"/>
          <w:sz w:val="22"/>
          <w:szCs w:val="22"/>
        </w:rPr>
        <w:t xml:space="preserve">Prüfbericht &amp; Roadmap</w:t>
      </w:r>
    </w:p>
    <w:p>
      <w:pPr>
        <w:spacing w:after="80" w:before="0"/>
      </w:pPr>
      <w:r>
        <w:rPr>
          <w:b/>
          <w:bCs/>
          <w:color w:val="1F2A44"/>
          <w:sz w:val="44"/>
          <w:szCs w:val="44"/>
        </w:rPr>
        <w:t xml:space="preserve">BuchungsApp für Yvonne</w:t>
      </w:r>
    </w:p>
    <w:p>
      <w:pPr>
        <w:spacing w:after="400" w:before="0"/>
      </w:pPr>
      <w:r>
        <w:rPr>
          <w:color w:val="555555"/>
          <w:sz w:val="24"/>
          <w:szCs w:val="24"/>
        </w:rPr>
        <w:t xml:space="preserve">Lösungsansatz als Bexio-Alternative — Funktionalität · Sicherheit · Roadmap</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7200"/>
      </w:tblGrid>
      <w:tr>
        <w:tc>
          <w:tcPr>
            <w:tcW w:type="dxa" w:w="2200"/>
            <w:tcBorders>
              <w:top w:val="single" w:color="CCCCCC" w:sz="4"/>
              <w:left w:val="single" w:color="CCCCCC" w:sz="4"/>
              <w:bottom w:val="single" w:color="CCCCCC" w:sz="4"/>
              <w:right w:val="single" w:color="CCCCCC" w:sz="4"/>
            </w:tcBorders>
            <w:shd w:fill="F5F6F8" w:val="clear"/>
            <w:tcMar>
              <w:top w:type="dxa" w:w="100"/>
              <w:left w:type="dxa" w:w="140"/>
              <w:bottom w:type="dxa" w:w="100"/>
              <w:right w:type="dxa" w:w="140"/>
            </w:tcMar>
          </w:tcPr>
          <w:p>
            <w:pPr>
              <w:jc w:val="left"/>
            </w:pPr>
            <w:r>
              <w:rPr>
                <w:b/>
                <w:bCs/>
                <w:sz w:val="20"/>
                <w:szCs w:val="20"/>
              </w:rPr>
              <w:t xml:space="preserve">Projekt</w:t>
            </w:r>
          </w:p>
        </w:tc>
        <w:tc>
          <w:tcPr>
            <w:tcW w:type="dxa" w:w="7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PRJ_Yvonne_Buchhaltung-App</w:t>
            </w:r>
          </w:p>
        </w:tc>
      </w:tr>
      <w:tr>
        <w:tc>
          <w:tcPr>
            <w:tcW w:type="dxa" w:w="2200"/>
            <w:tcBorders>
              <w:top w:val="single" w:color="CCCCCC" w:sz="4"/>
              <w:left w:val="single" w:color="CCCCCC" w:sz="4"/>
              <w:bottom w:val="single" w:color="CCCCCC" w:sz="4"/>
              <w:right w:val="single" w:color="CCCCCC" w:sz="4"/>
            </w:tcBorders>
            <w:shd w:fill="F5F6F8" w:val="clear"/>
            <w:tcMar>
              <w:top w:type="dxa" w:w="100"/>
              <w:left w:type="dxa" w:w="140"/>
              <w:bottom w:type="dxa" w:w="100"/>
              <w:right w:type="dxa" w:w="140"/>
            </w:tcMar>
          </w:tcPr>
          <w:p>
            <w:pPr>
              <w:jc w:val="left"/>
            </w:pPr>
            <w:r>
              <w:rPr>
                <w:b/>
                <w:bCs/>
                <w:sz w:val="20"/>
                <w:szCs w:val="20"/>
              </w:rPr>
              <w:t xml:space="preserve">Für</w:t>
            </w:r>
          </w:p>
        </w:tc>
        <w:tc>
          <w:tcPr>
            <w:tcW w:type="dxa" w:w="7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Yvonne Villiger — Einzelfirma, Schweiz</w:t>
            </w:r>
          </w:p>
        </w:tc>
      </w:tr>
      <w:tr>
        <w:tc>
          <w:tcPr>
            <w:tcW w:type="dxa" w:w="2200"/>
            <w:tcBorders>
              <w:top w:val="single" w:color="CCCCCC" w:sz="4"/>
              <w:left w:val="single" w:color="CCCCCC" w:sz="4"/>
              <w:bottom w:val="single" w:color="CCCCCC" w:sz="4"/>
              <w:right w:val="single" w:color="CCCCCC" w:sz="4"/>
            </w:tcBorders>
            <w:shd w:fill="F5F6F8" w:val="clear"/>
            <w:tcMar>
              <w:top w:type="dxa" w:w="100"/>
              <w:left w:type="dxa" w:w="140"/>
              <w:bottom w:type="dxa" w:w="100"/>
              <w:right w:type="dxa" w:w="140"/>
            </w:tcMar>
          </w:tcPr>
          <w:p>
            <w:pPr>
              <w:jc w:val="left"/>
            </w:pPr>
            <w:r>
              <w:rPr>
                <w:b/>
                <w:bCs/>
                <w:sz w:val="20"/>
                <w:szCs w:val="20"/>
              </w:rPr>
              <w:t xml:space="preserve">Ziel</w:t>
            </w:r>
          </w:p>
        </w:tc>
        <w:tc>
          <w:tcPr>
            <w:tcW w:type="dxa" w:w="7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Ablösung von Bexio (zu komplex, zu kostenintensiv) durch eine schlanke, eigene Buchhaltungslösung.</w:t>
            </w:r>
          </w:p>
        </w:tc>
      </w:tr>
      <w:tr>
        <w:tc>
          <w:tcPr>
            <w:tcW w:type="dxa" w:w="2200"/>
            <w:tcBorders>
              <w:top w:val="single" w:color="CCCCCC" w:sz="4"/>
              <w:left w:val="single" w:color="CCCCCC" w:sz="4"/>
              <w:bottom w:val="single" w:color="CCCCCC" w:sz="4"/>
              <w:right w:val="single" w:color="CCCCCC" w:sz="4"/>
            </w:tcBorders>
            <w:shd w:fill="F5F6F8" w:val="clear"/>
            <w:tcMar>
              <w:top w:type="dxa" w:w="100"/>
              <w:left w:type="dxa" w:w="140"/>
              <w:bottom w:type="dxa" w:w="100"/>
              <w:right w:type="dxa" w:w="140"/>
            </w:tcMar>
          </w:tcPr>
          <w:p>
            <w:pPr>
              <w:jc w:val="left"/>
            </w:pPr>
            <w:r>
              <w:rPr>
                <w:b/>
                <w:bCs/>
                <w:sz w:val="20"/>
                <w:szCs w:val="20"/>
              </w:rPr>
              <w:t xml:space="preserve">Prüfgegenstand</w:t>
            </w:r>
          </w:p>
        </w:tc>
        <w:tc>
          <w:tcPr>
            <w:tcW w:type="dxa" w:w="7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BuchungsApp — Perplexity-Computer-Prototyp (React 18 + Express 5 + Drizzle/PostgreSQL)</w:t>
            </w:r>
          </w:p>
        </w:tc>
      </w:tr>
      <w:tr>
        <w:tc>
          <w:tcPr>
            <w:tcW w:type="dxa" w:w="2200"/>
            <w:tcBorders>
              <w:top w:val="single" w:color="CCCCCC" w:sz="4"/>
              <w:left w:val="single" w:color="CCCCCC" w:sz="4"/>
              <w:bottom w:val="single" w:color="CCCCCC" w:sz="4"/>
              <w:right w:val="single" w:color="CCCCCC" w:sz="4"/>
            </w:tcBorders>
            <w:shd w:fill="F5F6F8" w:val="clear"/>
            <w:tcMar>
              <w:top w:type="dxa" w:w="100"/>
              <w:left w:type="dxa" w:w="140"/>
              <w:bottom w:type="dxa" w:w="100"/>
              <w:right w:type="dxa" w:w="140"/>
            </w:tcMar>
          </w:tcPr>
          <w:p>
            <w:pPr>
              <w:jc w:val="left"/>
            </w:pPr>
            <w:r>
              <w:rPr>
                <w:b/>
                <w:bCs/>
                <w:sz w:val="20"/>
                <w:szCs w:val="20"/>
              </w:rPr>
              <w:t xml:space="preserve">Prüfdatum</w:t>
            </w:r>
          </w:p>
        </w:tc>
        <w:tc>
          <w:tcPr>
            <w:tcW w:type="dxa" w:w="7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17. April 2026 (v01)</w:t>
            </w:r>
          </w:p>
        </w:tc>
      </w:tr>
      <w:tr>
        <w:tc>
          <w:tcPr>
            <w:tcW w:type="dxa" w:w="2200"/>
            <w:tcBorders>
              <w:top w:val="single" w:color="CCCCCC" w:sz="4"/>
              <w:left w:val="single" w:color="CCCCCC" w:sz="4"/>
              <w:bottom w:val="single" w:color="CCCCCC" w:sz="4"/>
              <w:right w:val="single" w:color="CCCCCC" w:sz="4"/>
            </w:tcBorders>
            <w:shd w:fill="F5F6F8" w:val="clear"/>
            <w:tcMar>
              <w:top w:type="dxa" w:w="100"/>
              <w:left w:type="dxa" w:w="140"/>
              <w:bottom w:type="dxa" w:w="100"/>
              <w:right w:type="dxa" w:w="140"/>
            </w:tcMar>
          </w:tcPr>
          <w:p>
            <w:pPr>
              <w:jc w:val="left"/>
            </w:pPr>
            <w:r>
              <w:rPr>
                <w:b/>
                <w:bCs/>
                <w:sz w:val="20"/>
                <w:szCs w:val="20"/>
              </w:rPr>
              <w:t xml:space="preserve">Prüfer</w:t>
            </w:r>
          </w:p>
        </w:tc>
        <w:tc>
          <w:tcPr>
            <w:tcW w:type="dxa" w:w="7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Tom Hirt</w:t>
            </w:r>
          </w:p>
        </w:tc>
      </w:tr>
      <w:tr>
        <w:tc>
          <w:tcPr>
            <w:tcW w:type="dxa" w:w="2200"/>
            <w:tcBorders>
              <w:top w:val="single" w:color="CCCCCC" w:sz="4"/>
              <w:left w:val="single" w:color="CCCCCC" w:sz="4"/>
              <w:bottom w:val="single" w:color="CCCCCC" w:sz="4"/>
              <w:right w:val="single" w:color="CCCCCC" w:sz="4"/>
            </w:tcBorders>
            <w:shd w:fill="F5F6F8" w:val="clear"/>
            <w:tcMar>
              <w:top w:type="dxa" w:w="100"/>
              <w:left w:type="dxa" w:w="140"/>
              <w:bottom w:type="dxa" w:w="100"/>
              <w:right w:type="dxa" w:w="140"/>
            </w:tcMar>
          </w:tcPr>
          <w:p>
            <w:pPr>
              <w:jc w:val="left"/>
            </w:pPr>
            <w:r>
              <w:rPr>
                <w:b/>
                <w:bCs/>
                <w:sz w:val="20"/>
                <w:szCs w:val="20"/>
              </w:rPr>
              <w:t xml:space="preserve">Methode</w:t>
            </w:r>
          </w:p>
        </w:tc>
        <w:tc>
          <w:tcPr>
            <w:tcW w:type="dxa" w:w="7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Statische Code-Analyse (Client, Server, Shared-Schema), Prüfung der beiliegenden Installationsanleitung. Keine Laufzeit-Tests.</w:t>
            </w:r>
          </w:p>
        </w:tc>
      </w:tr>
    </w:tbl>
    <w:p>
      <w:r>
        <w:br w:type="page"/>
      </w:r>
    </w:p>
    <w:p>
      <w:pPr>
        <w:pStyle w:val="Heading1"/>
        <w:spacing w:after="180" w:before="360"/>
      </w:pPr>
      <w:r>
        <w:rPr>
          <w:b/>
          <w:bCs/>
          <w:color w:val="1F2A44"/>
          <w:sz w:val="32"/>
          <w:szCs w:val="32"/>
        </w:rPr>
        <w:t xml:space="preserve">1. Executive Summary</w:t>
      </w:r>
    </w:p>
    <w:p>
      <w:pPr>
        <w:spacing w:after="120" w:line="300"/>
      </w:pPr>
      <w:r>
        <w:t xml:space="preserve">Ausgangslage: Yvonne sucht eine Ablösung für Bexio — die bestehende Lösung ist für ihre Einzelfirma zu komplex und zu kostenintensiv. Die vorliegende BuchungsApp (Perplexity-Computer-Prototyp) soll prüfen, ob daraus eine schlanke, eigene Buchhaltungslösung werden kann.</w:t>
      </w:r>
    </w:p>
    <w:p>
      <w:pPr>
        <w:spacing w:after="120" w:line="300"/>
      </w:pPr>
      <w:r>
        <w:t xml:space="preserve">Die kurze Antwort: ja, grundsätzlich tragfähig, aber heute noch nicht einsatzbereit. Die Codebasis ist modern, sauber strukturiert und bewusst schlank gehalten — genau das Gegenteil von Bexio. Das fachliche Grundgerüst (Kunden, Belege, Rechnungen, Buchungen, Dashboard, deutsche Oberfläche, Schweizer MWST-Sätze) ist vorhanden und passt für eine Einzelfirma mit Einnahmen-Ausgaben-Rechnung nach OR 957 Abs. 2.</w:t>
      </w:r>
    </w:p>
    <w:p>
      <w:pPr>
        <w:spacing w:after="120" w:line="300"/>
      </w:pPr>
      <w:r>
        <w:t xml:space="preserve">Die beigelegte Installationsanleitung bestätigt, was die Code-Analyse zeigt: die Daten werden heute ausschliesslich im Arbeitsspeicher gehalten (MemStorage), es gibt kein Login, keine Eingabevalidierung auf dem Server, keine Backups, keine QR-Rechnung und keinen PDF-Export. Der Autor des Prototyps führt diese Lücken selbst unter „mögliche Erweiterungen“ auf.</w:t>
      </w:r>
    </w:p>
    <w:p>
      <w:pPr>
        <w:spacing w:after="120" w:line="300"/>
      </w:pPr>
      <w:r>
        <w:t xml:space="preserve">Damit die App Bexio tatsächlich ablösen kann, braucht es eine gezielte Roadmap: persistente Datenbank, Login, Swiss QR-Rechnung, PDF-Generierung und Export für die MWST-Abrechnung. Der Aufwand dafür ist mit moderner KI-Unterstützung überschaubar (Grössenordnung: zwei Wochen konzentrierter Arbeit) und führt zu einer Lösung, die Yvonne gehört — ohne laufende Abo-Kosten und genau auf ihren tatsächlichen Bedarf zugeschnitten.</w:t>
      </w:r>
    </w:p>
    <w:p>
      <w:pPr>
        <w:pStyle w:val="Heading2"/>
        <w:spacing w:after="140" w:before="280"/>
      </w:pPr>
      <w:r>
        <w:rPr>
          <w:b/>
          <w:bCs/>
          <w:color w:val="1F2A44"/>
          <w:sz w:val="26"/>
          <w:szCs w:val="26"/>
        </w:rPr>
        <w:t xml:space="preserve">Ampel-Einschätzung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800"/>
        <w:gridCol w:w="1600"/>
        <w:gridCol w:w="3000"/>
      </w:tblGrid>
      <w:tr>
        <w:trPr>
          <w:tblHeader/>
        </w:trPr>
        <w:tc>
          <w:tcPr>
            <w:tcW w:type="dxa" w:w="4800"/>
            <w:tcBorders>
              <w:top w:val="single" w:color="CCCCCC" w:sz="4"/>
              <w:left w:val="single" w:color="CCCCCC" w:sz="4"/>
              <w:bottom w:val="single" w:color="CCCCCC" w:sz="4"/>
              <w:right w:val="single" w:color="CCCCCC" w:sz="4"/>
            </w:tcBorders>
            <w:shd w:fill="1F2A44" w:val="clear"/>
            <w:tcMar>
              <w:top w:type="dxa" w:w="100"/>
              <w:left w:type="dxa" w:w="140"/>
              <w:bottom w:type="dxa" w:w="100"/>
              <w:right w:type="dxa" w:w="140"/>
            </w:tcMar>
          </w:tcPr>
          <w:p>
            <w:pPr>
              <w:jc w:val="left"/>
            </w:pPr>
            <w:r>
              <w:rPr>
                <w:b/>
                <w:bCs/>
                <w:color w:val="FFFFFF"/>
                <w:sz w:val="20"/>
                <w:szCs w:val="20"/>
              </w:rPr>
              <w:t xml:space="preserve">Bereich</w:t>
            </w:r>
          </w:p>
        </w:tc>
        <w:tc>
          <w:tcPr>
            <w:tcW w:type="dxa" w:w="1600"/>
            <w:tcBorders>
              <w:top w:val="single" w:color="CCCCCC" w:sz="4"/>
              <w:left w:val="single" w:color="CCCCCC" w:sz="4"/>
              <w:bottom w:val="single" w:color="CCCCCC" w:sz="4"/>
              <w:right w:val="single" w:color="CCCCCC" w:sz="4"/>
            </w:tcBorders>
            <w:shd w:fill="1F2A44" w:val="clear"/>
            <w:tcMar>
              <w:top w:type="dxa" w:w="100"/>
              <w:left w:type="dxa" w:w="140"/>
              <w:bottom w:type="dxa" w:w="100"/>
              <w:right w:type="dxa" w:w="140"/>
            </w:tcMar>
          </w:tcPr>
          <w:p>
            <w:pPr>
              <w:jc w:val="center"/>
            </w:pPr>
            <w:r>
              <w:rPr>
                <w:b/>
                <w:bCs/>
                <w:color w:val="FFFFFF"/>
                <w:sz w:val="20"/>
                <w:szCs w:val="20"/>
              </w:rPr>
              <w:t xml:space="preserve">Ampel</w:t>
            </w:r>
          </w:p>
        </w:tc>
        <w:tc>
          <w:tcPr>
            <w:tcW w:type="dxa" w:w="3000"/>
            <w:tcBorders>
              <w:top w:val="single" w:color="CCCCCC" w:sz="4"/>
              <w:left w:val="single" w:color="CCCCCC" w:sz="4"/>
              <w:bottom w:val="single" w:color="CCCCCC" w:sz="4"/>
              <w:right w:val="single" w:color="CCCCCC" w:sz="4"/>
            </w:tcBorders>
            <w:shd w:fill="1F2A44" w:val="clear"/>
            <w:tcMar>
              <w:top w:type="dxa" w:w="100"/>
              <w:left w:type="dxa" w:w="140"/>
              <w:bottom w:type="dxa" w:w="100"/>
              <w:right w:type="dxa" w:w="140"/>
            </w:tcMar>
          </w:tcPr>
          <w:p>
            <w:pPr>
              <w:jc w:val="left"/>
            </w:pPr>
            <w:r>
              <w:rPr>
                <w:b/>
                <w:bCs/>
                <w:color w:val="FFFFFF"/>
                <w:sz w:val="20"/>
                <w:szCs w:val="20"/>
              </w:rPr>
              <w:t xml:space="preserve">Kurz-Begründung</w:t>
            </w:r>
          </w:p>
        </w:tc>
      </w:tr>
      <w:tr>
        <w:tc>
          <w:tcPr>
            <w:tcW w:type="dxa" w:w="4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Tauglichkeit HEUTE als produktive Buchhaltung</w:t>
            </w:r>
          </w:p>
        </w:tc>
        <w:tc>
          <w:tcPr>
            <w:tcW w:type="dxa" w:w="1600"/>
            <w:tcBorders>
              <w:top w:val="single" w:color="CCCCCC" w:sz="4"/>
              <w:left w:val="single" w:color="CCCCCC" w:sz="4"/>
              <w:bottom w:val="single" w:color="CCCCCC" w:sz="4"/>
              <w:right w:val="single" w:color="CCCCCC" w:sz="4"/>
            </w:tcBorders>
            <w:shd w:fill="C0392B" w:val="clear"/>
            <w:tcMar>
              <w:top w:type="dxa" w:w="80"/>
              <w:left w:type="dxa" w:w="120"/>
              <w:bottom w:type="dxa" w:w="80"/>
              <w:right w:type="dxa" w:w="120"/>
            </w:tcMar>
          </w:tcPr>
          <w:p>
            <w:pPr>
              <w:jc w:val="center"/>
            </w:pPr>
            <w:r>
              <w:rPr>
                <w:b/>
                <w:bCs/>
                <w:color w:val="FFFFFF"/>
                <w:sz w:val="20"/>
                <w:szCs w:val="20"/>
              </w:rPr>
              <w:t xml:space="preserve">ROT</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Ohne Login und ohne persistente Datenbank nicht produktiv einsetzbar. Noch kein Bexio-Ersatz.</w:t>
            </w:r>
          </w:p>
        </w:tc>
      </w:tr>
      <w:tr>
        <w:tc>
          <w:tcPr>
            <w:tcW w:type="dxa" w:w="4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Tauglichkeit als Basis für die Eigenentwicklung</w:t>
            </w:r>
          </w:p>
        </w:tc>
        <w:tc>
          <w:tcPr>
            <w:tcW w:type="dxa" w:w="1600"/>
            <w:tcBorders>
              <w:top w:val="single" w:color="CCCCCC" w:sz="4"/>
              <w:left w:val="single" w:color="CCCCCC" w:sz="4"/>
              <w:bottom w:val="single" w:color="CCCCCC" w:sz="4"/>
              <w:right w:val="single" w:color="CCCCCC" w:sz="4"/>
            </w:tcBorders>
            <w:shd w:fill="27AE60" w:val="clear"/>
            <w:tcMar>
              <w:top w:type="dxa" w:w="80"/>
              <w:left w:type="dxa" w:w="120"/>
              <w:bottom w:type="dxa" w:w="80"/>
              <w:right w:type="dxa" w:w="120"/>
            </w:tcMar>
          </w:tcPr>
          <w:p>
            <w:pPr>
              <w:jc w:val="center"/>
            </w:pPr>
            <w:r>
              <w:rPr>
                <w:b/>
                <w:bCs/>
                <w:color w:val="FFFFFF"/>
                <w:sz w:val="20"/>
                <w:szCs w:val="20"/>
              </w:rPr>
              <w:t xml:space="preserve">GRÜN</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Moderne, saubere Codebasis — die fehlenden Funktionen sind gezielt nachrüstbar.</w:t>
            </w:r>
          </w:p>
        </w:tc>
      </w:tr>
      <w:tr>
        <w:tc>
          <w:tcPr>
            <w:tcW w:type="dxa" w:w="4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Passung zum Ziel (Bexio-Alternative für Einzelfirma)</w:t>
            </w:r>
          </w:p>
        </w:tc>
        <w:tc>
          <w:tcPr>
            <w:tcW w:type="dxa" w:w="1600"/>
            <w:tcBorders>
              <w:top w:val="single" w:color="CCCCCC" w:sz="4"/>
              <w:left w:val="single" w:color="CCCCCC" w:sz="4"/>
              <w:bottom w:val="single" w:color="CCCCCC" w:sz="4"/>
              <w:right w:val="single" w:color="CCCCCC" w:sz="4"/>
            </w:tcBorders>
            <w:shd w:fill="27AE60" w:val="clear"/>
            <w:tcMar>
              <w:top w:type="dxa" w:w="80"/>
              <w:left w:type="dxa" w:w="120"/>
              <w:bottom w:type="dxa" w:w="80"/>
              <w:right w:type="dxa" w:w="120"/>
            </w:tcMar>
          </w:tcPr>
          <w:p>
            <w:pPr>
              <w:jc w:val="center"/>
            </w:pPr>
            <w:r>
              <w:rPr>
                <w:b/>
                <w:bCs/>
                <w:color w:val="FFFFFF"/>
                <w:sz w:val="20"/>
                <w:szCs w:val="20"/>
              </w:rPr>
              <w:t xml:space="preserve">GRÜN</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Bewusst schlank, Schweizer Kontext bereits berücksichtigt (CHF, MWST 8.1/2.6/3.8, TWINT, Präfixe).</w:t>
            </w:r>
          </w:p>
        </w:tc>
      </w:tr>
      <w:tr>
        <w:tc>
          <w:tcPr>
            <w:tcW w:type="dxa" w:w="4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Funktionaler Umfang (Basis-Buchhaltung)</w:t>
            </w:r>
          </w:p>
        </w:tc>
        <w:tc>
          <w:tcPr>
            <w:tcW w:type="dxa" w:w="1600"/>
            <w:tcBorders>
              <w:top w:val="single" w:color="CCCCCC" w:sz="4"/>
              <w:left w:val="single" w:color="CCCCCC" w:sz="4"/>
              <w:bottom w:val="single" w:color="CCCCCC" w:sz="4"/>
              <w:right w:val="single" w:color="CCCCCC" w:sz="4"/>
            </w:tcBorders>
            <w:shd w:fill="F1C40F" w:val="clear"/>
            <w:tcMar>
              <w:top w:type="dxa" w:w="80"/>
              <w:left w:type="dxa" w:w="120"/>
              <w:bottom w:type="dxa" w:w="80"/>
              <w:right w:type="dxa" w:w="120"/>
            </w:tcMar>
          </w:tcPr>
          <w:p>
            <w:pPr>
              <w:jc w:val="center"/>
            </w:pPr>
            <w:r>
              <w:rPr>
                <w:b/>
                <w:bCs/>
                <w:color w:val="FFFFFF"/>
                <w:sz w:val="20"/>
                <w:szCs w:val="20"/>
              </w:rPr>
              <w:t xml:space="preserve">GELB</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Belege, Rechnungen, Buchungen, Dashboard vorhanden — aber ohne QR-Rechnung, PDF-Versand, Bankabgleich, MWST-Abrechnung.</w:t>
            </w:r>
          </w:p>
        </w:tc>
      </w:tr>
      <w:tr>
        <w:tc>
          <w:tcPr>
            <w:tcW w:type="dxa" w:w="4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Sicherheit &amp; Datenschutz (revDSG / OR 958f)</w:t>
            </w:r>
          </w:p>
        </w:tc>
        <w:tc>
          <w:tcPr>
            <w:tcW w:type="dxa" w:w="1600"/>
            <w:tcBorders>
              <w:top w:val="single" w:color="CCCCCC" w:sz="4"/>
              <w:left w:val="single" w:color="CCCCCC" w:sz="4"/>
              <w:bottom w:val="single" w:color="CCCCCC" w:sz="4"/>
              <w:right w:val="single" w:color="CCCCCC" w:sz="4"/>
            </w:tcBorders>
            <w:shd w:fill="C0392B" w:val="clear"/>
            <w:tcMar>
              <w:top w:type="dxa" w:w="80"/>
              <w:left w:type="dxa" w:w="120"/>
              <w:bottom w:type="dxa" w:w="80"/>
              <w:right w:type="dxa" w:w="120"/>
            </w:tcMar>
          </w:tcPr>
          <w:p>
            <w:pPr>
              <w:jc w:val="center"/>
            </w:pPr>
            <w:r>
              <w:rPr>
                <w:b/>
                <w:bCs/>
                <w:color w:val="FFFFFF"/>
                <w:sz w:val="20"/>
                <w:szCs w:val="20"/>
              </w:rPr>
              <w:t xml:space="preserve">ROT</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Keine Authentifizierung, keine Verschlüsselung, sensibles Logging, fehlende Validierung — alles adressierbar.</w:t>
            </w:r>
          </w:p>
        </w:tc>
      </w:tr>
      <w:tr>
        <w:tc>
          <w:tcPr>
            <w:tcW w:type="dxa" w:w="4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Code-Qualität (technisch)</w:t>
            </w:r>
          </w:p>
        </w:tc>
        <w:tc>
          <w:tcPr>
            <w:tcW w:type="dxa" w:w="1600"/>
            <w:tcBorders>
              <w:top w:val="single" w:color="CCCCCC" w:sz="4"/>
              <w:left w:val="single" w:color="CCCCCC" w:sz="4"/>
              <w:bottom w:val="single" w:color="CCCCCC" w:sz="4"/>
              <w:right w:val="single" w:color="CCCCCC" w:sz="4"/>
            </w:tcBorders>
            <w:shd w:fill="27AE60" w:val="clear"/>
            <w:tcMar>
              <w:top w:type="dxa" w:w="80"/>
              <w:left w:type="dxa" w:w="120"/>
              <w:bottom w:type="dxa" w:w="80"/>
              <w:right w:type="dxa" w:w="120"/>
            </w:tcMar>
          </w:tcPr>
          <w:p>
            <w:pPr>
              <w:jc w:val="center"/>
            </w:pPr>
            <w:r>
              <w:rPr>
                <w:b/>
                <w:bCs/>
                <w:color w:val="FFFFFF"/>
                <w:sz w:val="20"/>
                <w:szCs w:val="20"/>
              </w:rPr>
              <w:t xml:space="preserve">GRÜN</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TypeScript strict, moderner Stack (React 18, Express 5, Drizzle, shadcn/ui), lesbare Struktur.</w:t>
            </w:r>
          </w:p>
        </w:tc>
      </w:tr>
      <w:tr>
        <w:tc>
          <w:tcPr>
            <w:tcW w:type="dxa" w:w="4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UX / Bedienbarkeit für Yvonne</w:t>
            </w:r>
          </w:p>
        </w:tc>
        <w:tc>
          <w:tcPr>
            <w:tcW w:type="dxa" w:w="1600"/>
            <w:tcBorders>
              <w:top w:val="single" w:color="CCCCCC" w:sz="4"/>
              <w:left w:val="single" w:color="CCCCCC" w:sz="4"/>
              <w:bottom w:val="single" w:color="CCCCCC" w:sz="4"/>
              <w:right w:val="single" w:color="CCCCCC" w:sz="4"/>
            </w:tcBorders>
            <w:shd w:fill="27AE60" w:val="clear"/>
            <w:tcMar>
              <w:top w:type="dxa" w:w="80"/>
              <w:left w:type="dxa" w:w="120"/>
              <w:bottom w:type="dxa" w:w="80"/>
              <w:right w:type="dxa" w:w="120"/>
            </w:tcMar>
          </w:tcPr>
          <w:p>
            <w:pPr>
              <w:jc w:val="center"/>
            </w:pPr>
            <w:r>
              <w:rPr>
                <w:b/>
                <w:bCs/>
                <w:color w:val="FFFFFF"/>
                <w:sz w:val="20"/>
                <w:szCs w:val="20"/>
              </w:rPr>
              <w:t xml:space="preserve">GRÜN</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Schlankes UI, sinnvolle Filter, deutsche Beschriftung, Dark Mode vorbereitet — deutlich ruhiger als Bexio.</w:t>
            </w:r>
          </w:p>
        </w:tc>
      </w:tr>
      <w:tr>
        <w:tc>
          <w:tcPr>
            <w:tcW w:type="dxa" w:w="4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Kosten-Perspektive (laufend)</w:t>
            </w:r>
          </w:p>
        </w:tc>
        <w:tc>
          <w:tcPr>
            <w:tcW w:type="dxa" w:w="1600"/>
            <w:tcBorders>
              <w:top w:val="single" w:color="CCCCCC" w:sz="4"/>
              <w:left w:val="single" w:color="CCCCCC" w:sz="4"/>
              <w:bottom w:val="single" w:color="CCCCCC" w:sz="4"/>
              <w:right w:val="single" w:color="CCCCCC" w:sz="4"/>
            </w:tcBorders>
            <w:shd w:fill="27AE60" w:val="clear"/>
            <w:tcMar>
              <w:top w:type="dxa" w:w="80"/>
              <w:left w:type="dxa" w:w="120"/>
              <w:bottom w:type="dxa" w:w="80"/>
              <w:right w:type="dxa" w:w="120"/>
            </w:tcMar>
          </w:tcPr>
          <w:p>
            <w:pPr>
              <w:jc w:val="center"/>
            </w:pPr>
            <w:r>
              <w:rPr>
                <w:b/>
                <w:bCs/>
                <w:color w:val="FFFFFF"/>
                <w:sz w:val="20"/>
                <w:szCs w:val="20"/>
              </w:rPr>
              <w:t xml:space="preserve">GRÜN</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Nach Einrichtung nur Hosting (ca. CHF 5–10/Mt. Infomaniak) statt CHF 39+/Mt. bei Bexio.</w:t>
            </w:r>
          </w:p>
        </w:tc>
      </w:tr>
    </w:tbl>
    <w:p>
      <w:r>
        <w:br w:type="page"/>
      </w:r>
    </w:p>
    <w:p>
      <w:pPr>
        <w:pStyle w:val="Heading1"/>
        <w:spacing w:after="180" w:before="360"/>
      </w:pPr>
      <w:r>
        <w:rPr>
          <w:b/>
          <w:bCs/>
          <w:color w:val="1F2A44"/>
          <w:sz w:val="32"/>
          <w:szCs w:val="32"/>
        </w:rPr>
        <w:t xml:space="preserve">2. Was die App ist und was sie macht</w:t>
      </w:r>
    </w:p>
    <w:p>
      <w:pPr>
        <w:pStyle w:val="Heading2"/>
        <w:spacing w:after="140" w:before="280"/>
      </w:pPr>
      <w:r>
        <w:rPr>
          <w:b/>
          <w:bCs/>
          <w:color w:val="1F2A44"/>
          <w:sz w:val="26"/>
          <w:szCs w:val="26"/>
        </w:rPr>
        <w:t xml:space="preserve">2.1 Stack und Architektur</w:t>
      </w:r>
    </w:p>
    <w:p>
      <w:pPr>
        <w:pStyle w:val="ListParagraph"/>
        <w:numPr>
          <w:ilvl w:val="0"/>
          <w:numId w:val="2"/>
        </w:numPr>
        <w:spacing w:after="60" w:line="280"/>
      </w:pPr>
      <w:r>
        <w:rPr>
          <w:sz w:val="22"/>
          <w:szCs w:val="22"/>
        </w:rPr>
        <w:t xml:space="preserve">Frontend: React 18, Vite 7, TailwindCSS, shadcn/ui (Radix), Wouter (Hash-Routing), TanStack Query, React-Hook-Form, Zod, Recharts.</w:t>
      </w:r>
    </w:p>
    <w:p>
      <w:pPr>
        <w:pStyle w:val="ListParagraph"/>
        <w:numPr>
          <w:ilvl w:val="0"/>
          <w:numId w:val="2"/>
        </w:numPr>
        <w:spacing w:after="60" w:line="280"/>
      </w:pPr>
      <w:r>
        <w:rPr>
          <w:sz w:val="22"/>
          <w:szCs w:val="22"/>
        </w:rPr>
        <w:t xml:space="preserve">Backend: Express 5 (Node.js), TypeScript strict, Drizzle ORM (PostgreSQL konfiguriert, aber nicht aktiv genutzt).</w:t>
      </w:r>
    </w:p>
    <w:p>
      <w:pPr>
        <w:pStyle w:val="ListParagraph"/>
        <w:numPr>
          <w:ilvl w:val="0"/>
          <w:numId w:val="2"/>
        </w:numPr>
        <w:spacing w:after="60" w:line="280"/>
      </w:pPr>
      <w:r>
        <w:rPr>
          <w:sz w:val="22"/>
          <w:szCs w:val="22"/>
        </w:rPr>
        <w:t xml:space="preserve">Persistenz heute: Keine — sämtliche Daten leben in JavaScript-Maps (server/storage.ts, Klasse MemStorage).</w:t>
      </w:r>
    </w:p>
    <w:p>
      <w:pPr>
        <w:pStyle w:val="ListParagraph"/>
        <w:numPr>
          <w:ilvl w:val="0"/>
          <w:numId w:val="2"/>
        </w:numPr>
        <w:spacing w:after="60" w:line="280"/>
      </w:pPr>
      <w:r>
        <w:rPr>
          <w:sz w:val="22"/>
          <w:szCs w:val="22"/>
        </w:rPr>
        <w:t xml:space="preserve">Auth: passport, passport-local und express-session sind als Pakete vorhanden, aber nirgends eingebunden.</w:t>
      </w:r>
    </w:p>
    <w:p>
      <w:pPr>
        <w:pStyle w:val="ListParagraph"/>
        <w:numPr>
          <w:ilvl w:val="0"/>
          <w:numId w:val="2"/>
        </w:numPr>
        <w:spacing w:after="60" w:line="280"/>
      </w:pPr>
      <w:r>
        <w:rPr>
          <w:sz w:val="22"/>
          <w:szCs w:val="22"/>
        </w:rPr>
        <w:t xml:space="preserve">Herkunft: Generiert mit „Perplexity Computer“ (entsprechender Kommentar und Meta-Tag in client/index.html).</w:t>
      </w:r>
    </w:p>
    <w:p>
      <w:pPr>
        <w:pStyle w:val="Heading2"/>
        <w:spacing w:after="140" w:before="280"/>
      </w:pPr>
      <w:r>
        <w:rPr>
          <w:b/>
          <w:bCs/>
          <w:color w:val="1F2A44"/>
          <w:sz w:val="26"/>
          <w:szCs w:val="26"/>
        </w:rPr>
        <w:t xml:space="preserve">2.2 Fachliche Module</w:t>
      </w:r>
    </w:p>
    <w:p>
      <w:pPr>
        <w:pStyle w:val="ListParagraph"/>
        <w:numPr>
          <w:ilvl w:val="0"/>
          <w:numId w:val="2"/>
        </w:numPr>
        <w:spacing w:after="60" w:line="280"/>
      </w:pPr>
      <w:r>
        <w:rPr>
          <w:sz w:val="22"/>
          <w:szCs w:val="22"/>
        </w:rPr>
        <w:t xml:space="preserve">Kunden (Stammdaten, inkl. UID, Adresse, Land-Default CH).</w:t>
      </w:r>
    </w:p>
    <w:p>
      <w:pPr>
        <w:pStyle w:val="ListParagraph"/>
        <w:numPr>
          <w:ilvl w:val="0"/>
          <w:numId w:val="2"/>
        </w:numPr>
        <w:spacing w:after="60" w:line="280"/>
      </w:pPr>
      <w:r>
        <w:rPr>
          <w:sz w:val="22"/>
          <w:szCs w:val="22"/>
        </w:rPr>
        <w:t xml:space="preserve">Belege (Einnahmen/Ausgaben, MWST-Satz, Kategorie, Projektzuordnung, Datei-Upload als Base64, Storno).</w:t>
      </w:r>
    </w:p>
    <w:p>
      <w:pPr>
        <w:pStyle w:val="ListParagraph"/>
        <w:numPr>
          <w:ilvl w:val="0"/>
          <w:numId w:val="2"/>
        </w:numPr>
        <w:spacing w:after="60" w:line="280"/>
      </w:pPr>
      <w:r>
        <w:rPr>
          <w:sz w:val="22"/>
          <w:szCs w:val="22"/>
        </w:rPr>
        <w:t xml:space="preserve">Rechnungen (mit Positionen, Status-Workflow Entwurf → Gesendet → Teilweise bezahlt → Bezahlt / Storniert, Zahlungsfrist, Druck über window.open).</w:t>
      </w:r>
    </w:p>
    <w:p>
      <w:pPr>
        <w:pStyle w:val="ListParagraph"/>
        <w:numPr>
          <w:ilvl w:val="0"/>
          <w:numId w:val="2"/>
        </w:numPr>
        <w:spacing w:after="60" w:line="280"/>
      </w:pPr>
      <w:r>
        <w:rPr>
          <w:sz w:val="22"/>
          <w:szCs w:val="22"/>
        </w:rPr>
        <w:t xml:space="preserve">Buchungen/Journal (einfache Einnahmen-Ausgaben-Rechnung gemäss OR 957 Abs. 2, optional Gegenkonto).</w:t>
      </w:r>
    </w:p>
    <w:p>
      <w:pPr>
        <w:pStyle w:val="ListParagraph"/>
        <w:numPr>
          <w:ilvl w:val="0"/>
          <w:numId w:val="2"/>
        </w:numPr>
        <w:spacing w:after="60" w:line="280"/>
      </w:pPr>
      <w:r>
        <w:rPr>
          <w:sz w:val="22"/>
          <w:szCs w:val="22"/>
        </w:rPr>
        <w:t xml:space="preserve">Änderungsprotokoll (Audit-Log je Entität, ohne Benutzerbezug).</w:t>
      </w:r>
    </w:p>
    <w:p>
      <w:pPr>
        <w:pStyle w:val="ListParagraph"/>
        <w:numPr>
          <w:ilvl w:val="0"/>
          <w:numId w:val="2"/>
        </w:numPr>
        <w:spacing w:after="60" w:line="280"/>
      </w:pPr>
      <w:r>
        <w:rPr>
          <w:sz w:val="22"/>
          <w:szCs w:val="22"/>
        </w:rPr>
        <w:t xml:space="preserve">Einstellungen (Firmendaten, IBAN, UID, MWST-Kennung, Geschäftsjahr, Präfixe, Nummernkreise).</w:t>
      </w:r>
    </w:p>
    <w:p>
      <w:pPr>
        <w:pStyle w:val="ListParagraph"/>
        <w:numPr>
          <w:ilvl w:val="0"/>
          <w:numId w:val="2"/>
        </w:numPr>
        <w:spacing w:after="60" w:line="280"/>
      </w:pPr>
      <w:r>
        <w:rPr>
          <w:sz w:val="22"/>
          <w:szCs w:val="22"/>
        </w:rPr>
        <w:t xml:space="preserve">JSON-Export über /api/export?year=XXXX — keine CSV, kein PDF, keine QR-Rechnung.</w:t>
      </w:r>
    </w:p>
    <w:p>
      <w:pPr>
        <w:pStyle w:val="ListParagraph"/>
        <w:numPr>
          <w:ilvl w:val="0"/>
          <w:numId w:val="2"/>
        </w:numPr>
        <w:spacing w:after="60" w:line="280"/>
      </w:pPr>
      <w:r>
        <w:rPr>
          <w:sz w:val="22"/>
          <w:szCs w:val="22"/>
        </w:rPr>
        <w:t xml:space="preserve">Dashboard (Einnahmen/Ausgaben/Profit, offene Rechnungen, Monatsverlauf, letzte Buchungen).</w:t>
      </w:r>
    </w:p>
    <w:p>
      <w:pPr>
        <w:pStyle w:val="Heading1"/>
        <w:spacing w:after="180" w:before="360"/>
      </w:pPr>
      <w:r>
        <w:rPr>
          <w:b/>
          <w:bCs/>
          <w:color w:val="1F2A44"/>
          <w:sz w:val="32"/>
          <w:szCs w:val="32"/>
        </w:rPr>
        <w:t xml:space="preserve">3. Funktionalität</w:t>
      </w:r>
    </w:p>
    <w:p>
      <w:pPr>
        <w:spacing w:after="120" w:line="300"/>
      </w:pPr>
      <w:r>
        <w:t xml:space="preserve">Für Yvonnes Einzelfirma mit vereinfachter Buchführung (OR 957 Abs. 2) ist der fachliche Umfang grundsätzlich passend. Was fehlt, sind einige Funktionen, die in der Schweiz heute praktisch Standard sind und die Yvonne aus Bexio gewohnt ist.</w:t>
      </w:r>
    </w:p>
    <w:p>
      <w:pPr>
        <w:pStyle w:val="Heading2"/>
        <w:spacing w:after="140" w:before="280"/>
      </w:pPr>
      <w:r>
        <w:rPr>
          <w:b/>
          <w:bCs/>
          <w:color w:val="1F2A44"/>
          <w:sz w:val="26"/>
          <w:szCs w:val="26"/>
        </w:rPr>
        <w:t xml:space="preserve">3.1 Was gut gelöst ist</w:t>
      </w:r>
    </w:p>
    <w:p>
      <w:pPr>
        <w:pStyle w:val="ListParagraph"/>
        <w:numPr>
          <w:ilvl w:val="0"/>
          <w:numId w:val="2"/>
        </w:numPr>
        <w:spacing w:after="60" w:line="280"/>
      </w:pPr>
      <w:r>
        <w:rPr>
          <w:sz w:val="22"/>
          <w:szCs w:val="22"/>
        </w:rPr>
        <w:t xml:space="preserve">Deutsche Beschriftung, Schweizer Kontext (CHF-Formatierung mit Apostroph-Tausendertrennung, Zahlungsarten inkl. TWINT, MWST-Sätze 8.1 / 2.6 / 3.8 / 0).</w:t>
      </w:r>
    </w:p>
    <w:p>
      <w:pPr>
        <w:pStyle w:val="ListParagraph"/>
        <w:numPr>
          <w:ilvl w:val="0"/>
          <w:numId w:val="2"/>
        </w:numPr>
        <w:spacing w:after="60" w:line="280"/>
      </w:pPr>
      <w:r>
        <w:rPr>
          <w:sz w:val="22"/>
          <w:szCs w:val="22"/>
        </w:rPr>
        <w:t xml:space="preserve">Klare Trennung Beleg → Buchung → Rechnung, mit konsistenter Nummerierung (RE-YYYY-0001 / B-YYYY-0001).</w:t>
      </w:r>
    </w:p>
    <w:p>
      <w:pPr>
        <w:pStyle w:val="ListParagraph"/>
        <w:numPr>
          <w:ilvl w:val="0"/>
          <w:numId w:val="2"/>
        </w:numPr>
        <w:spacing w:after="60" w:line="280"/>
      </w:pPr>
      <w:r>
        <w:rPr>
          <w:sz w:val="22"/>
          <w:szCs w:val="22"/>
        </w:rPr>
        <w:t xml:space="preserve">Filter, Suche und Stornologik konsequent umgesetzt.</w:t>
      </w:r>
    </w:p>
    <w:p>
      <w:pPr>
        <w:pStyle w:val="ListParagraph"/>
        <w:numPr>
          <w:ilvl w:val="0"/>
          <w:numId w:val="2"/>
        </w:numPr>
        <w:spacing w:after="60" w:line="280"/>
      </w:pPr>
      <w:r>
        <w:rPr>
          <w:sz w:val="22"/>
          <w:szCs w:val="22"/>
        </w:rPr>
        <w:t xml:space="preserve">Audit-Log je Entität — grundsätzlich richtig gedacht für die Revisionssicherheit.</w:t>
      </w:r>
    </w:p>
    <w:p>
      <w:pPr>
        <w:pStyle w:val="Heading2"/>
        <w:spacing w:after="140" w:before="280"/>
      </w:pPr>
      <w:r>
        <w:rPr>
          <w:b/>
          <w:bCs/>
          <w:color w:val="1F2A44"/>
          <w:sz w:val="26"/>
          <w:szCs w:val="26"/>
        </w:rPr>
        <w:t xml:space="preserve">3.2 Was spürbar fehlt (Schweiz-relevant)</w:t>
      </w:r>
    </w:p>
    <w:p>
      <w:pPr>
        <w:pStyle w:val="ListParagraph"/>
        <w:numPr>
          <w:ilvl w:val="0"/>
          <w:numId w:val="2"/>
        </w:numPr>
        <w:spacing w:after="60" w:line="280"/>
      </w:pPr>
      <w:r>
        <w:rPr>
          <w:b/>
          <w:bCs/>
        </w:rPr>
        <w:t xml:space="preserve">Schweizer QR-Rechnung: </w:t>
      </w:r>
      <w:r>
        <w:t xml:space="preserve">seit 30.09.2022 Standard, in der App nicht vorhanden. Ohne QR-Code sind Rechnungen für Kunden mühsam zu bezahlen.</w:t>
      </w:r>
    </w:p>
    <w:p>
      <w:pPr>
        <w:pStyle w:val="ListParagraph"/>
        <w:numPr>
          <w:ilvl w:val="0"/>
          <w:numId w:val="2"/>
        </w:numPr>
        <w:spacing w:after="60" w:line="280"/>
      </w:pPr>
      <w:r>
        <w:rPr>
          <w:b/>
          <w:bCs/>
        </w:rPr>
        <w:t xml:space="preserve">PDF-Generierung: </w:t>
      </w:r>
      <w:r>
        <w:t xml:space="preserve">die Druckfunktion öffnet nur window.open und nutzt den Browserdruck. Keine versandfertige PDF-Rechnung, kein Logo, kein Absender-Briefkopf.</w:t>
      </w:r>
    </w:p>
    <w:p>
      <w:pPr>
        <w:pStyle w:val="ListParagraph"/>
        <w:numPr>
          <w:ilvl w:val="0"/>
          <w:numId w:val="2"/>
        </w:numPr>
        <w:spacing w:after="60" w:line="280"/>
      </w:pPr>
      <w:r>
        <w:rPr>
          <w:b/>
          <w:bCs/>
        </w:rPr>
        <w:t xml:space="preserve">Kein Kontenrahmen (KMU-Kontenrahmen), keine doppelte Buchführung: </w:t>
      </w:r>
      <w:r>
        <w:t xml:space="preserve">Für reine Einnahmen-/Ausgabenrechnung bis CHF 500'000 Umsatz ausreichend, sobald du MWST-abrechnest oder wachsen willst, wird das eng.</w:t>
      </w:r>
    </w:p>
    <w:p>
      <w:pPr>
        <w:pStyle w:val="ListParagraph"/>
        <w:numPr>
          <w:ilvl w:val="0"/>
          <w:numId w:val="2"/>
        </w:numPr>
        <w:spacing w:after="60" w:line="280"/>
      </w:pPr>
      <w:r>
        <w:rPr>
          <w:b/>
          <w:bCs/>
        </w:rPr>
        <w:t xml:space="preserve">Keine MWST-Abrechnung / Saldosteuersatz-Methode: </w:t>
      </w:r>
      <w:r>
        <w:t xml:space="preserve">Einstellung „MWST-pflichtig“ existiert, aber keine Exportlogik für die MWST-Formulare der ESTV.</w:t>
      </w:r>
    </w:p>
    <w:p>
      <w:pPr>
        <w:pStyle w:val="ListParagraph"/>
        <w:numPr>
          <w:ilvl w:val="0"/>
          <w:numId w:val="2"/>
        </w:numPr>
        <w:spacing w:after="60" w:line="280"/>
      </w:pPr>
      <w:r>
        <w:rPr>
          <w:b/>
          <w:bCs/>
        </w:rPr>
        <w:t xml:space="preserve">Fremdwährungen nur halb durchdacht: </w:t>
      </w:r>
      <w:r>
        <w:t xml:space="preserve">currency-Feld am Beleg, aber kein Wechselkursmechanismus. Für Yvonne aktuell nicht kritisch, aber wenn internationale FitLine-Rechnungen dazu kommen, wäre ein Wechselkurs-Stichtag nötig.</w:t>
      </w:r>
    </w:p>
    <w:p>
      <w:pPr>
        <w:pStyle w:val="ListParagraph"/>
        <w:numPr>
          <w:ilvl w:val="0"/>
          <w:numId w:val="2"/>
        </w:numPr>
        <w:spacing w:after="60" w:line="280"/>
      </w:pPr>
      <w:r>
        <w:rPr>
          <w:b/>
          <w:bCs/>
        </w:rPr>
        <w:t xml:space="preserve">Kein Bankabgleich / CAMT.053-Import: </w:t>
      </w:r>
      <w:r>
        <w:t xml:space="preserve">macht Aufwand für eine Einzelfirma, aber für laufende Buchhaltung wäre mindestens ein CSV-Import wünschenswert.</w:t>
      </w:r>
    </w:p>
    <w:p>
      <w:pPr>
        <w:pStyle w:val="ListParagraph"/>
        <w:numPr>
          <w:ilvl w:val="0"/>
          <w:numId w:val="2"/>
        </w:numPr>
        <w:spacing w:after="60" w:line="280"/>
      </w:pPr>
      <w:r>
        <w:rPr>
          <w:b/>
          <w:bCs/>
        </w:rPr>
        <w:t xml:space="preserve">Keine Mahnungen, keine Teilzahlungslogik: </w:t>
      </w:r>
      <w:r>
        <w:t xml:space="preserve">Status „teilweise_bezahlt“ existiert, aber keine Zahlungszuweisung oder Restbetragsberechnung.</w:t>
      </w:r>
    </w:p>
    <w:p>
      <w:pPr>
        <w:pStyle w:val="ListParagraph"/>
        <w:numPr>
          <w:ilvl w:val="0"/>
          <w:numId w:val="2"/>
        </w:numPr>
        <w:spacing w:after="60" w:line="280"/>
      </w:pPr>
      <w:r>
        <w:rPr>
          <w:b/>
          <w:bCs/>
        </w:rPr>
        <w:t xml:space="preserve">Kein Kontaktimport / keine Suche nach UID im UID-Register: </w:t>
      </w:r>
      <w:r>
        <w:t xml:space="preserve">Kleinigkeit, spart aber viel Tipparbeit.</w:t>
      </w:r>
    </w:p>
    <w:p>
      <w:pPr>
        <w:pStyle w:val="ListParagraph"/>
        <w:numPr>
          <w:ilvl w:val="0"/>
          <w:numId w:val="2"/>
        </w:numPr>
        <w:spacing w:after="60" w:line="280"/>
      </w:pPr>
      <w:r>
        <w:rPr>
          <w:b/>
          <w:bCs/>
        </w:rPr>
        <w:t xml:space="preserve">Kategorien passen nicht zu Yvonnes Geschäftsmodell: </w:t>
      </w:r>
      <w:r>
        <w:t xml:space="preserve">Die Standardkategorien (Material, Fahrzeug, Büro, Versicherung …) sind gut, aber FitLine-/PM-International-spezifische Posten (Produkteinkauf, Boni-Abrechnungen, Eventkosten, Coaching, Social-Media-Werbung) fehlen und würden sonst alle unter „Sonstiges“ landen.</w:t>
      </w:r>
    </w:p>
    <w:p>
      <w:pPr>
        <w:pStyle w:val="Heading2"/>
        <w:spacing w:after="140" w:before="280"/>
      </w:pPr>
      <w:r>
        <w:rPr>
          <w:b/>
          <w:bCs/>
          <w:color w:val="1F2A44"/>
          <w:sz w:val="26"/>
          <w:szCs w:val="26"/>
        </w:rPr>
        <w:t xml:space="preserve">3.3 Rechenlogik — zwei Auffälligkeiten</w:t>
      </w:r>
    </w:p>
    <w:p>
      <w:pPr>
        <w:pStyle w:val="ListParagraph"/>
        <w:numPr>
          <w:ilvl w:val="0"/>
          <w:numId w:val="2"/>
        </w:numPr>
        <w:spacing w:after="60" w:line="280"/>
      </w:pPr>
      <w:r>
        <w:rPr>
          <w:b/>
          <w:bCs/>
        </w:rPr>
        <w:t xml:space="preserve">MWST-Berechnung: </w:t>
      </w:r>
      <w:r>
        <w:t xml:space="preserve">calcVatAmount() rechnet korrekt aus Bruttobeträgen heraus (a * r / (100 + r)). Das ist Schweiz-konform.</w:t>
      </w:r>
    </w:p>
    <w:p>
      <w:pPr>
        <w:pStyle w:val="ListParagraph"/>
        <w:numPr>
          <w:ilvl w:val="0"/>
          <w:numId w:val="2"/>
        </w:numPr>
        <w:spacing w:after="60" w:line="280"/>
      </w:pPr>
      <w:r>
        <w:rPr>
          <w:b/>
          <w:bCs/>
        </w:rPr>
        <w:t xml:space="preserve">Geldbeträge als </w:t>
      </w:r>
      <w:r>
        <w:rPr>
          <w:i/>
          <w:iCs/>
        </w:rPr>
        <w:t xml:space="preserve">text</w:t>
      </w:r>
      <w:r>
        <w:rPr>
          <w:b/>
          <w:bCs/>
        </w:rPr>
        <w:t xml:space="preserve">: Alle Beträge werden als String gespeichert und bei Summenbildung mit parseFloat parsed. Bei Summen vieler Belege entstehen klassische Fliesskommafehler. Für Buchhaltungszwecke ist das ein echtes Risiko.</w:t>
      </w:r>
    </w:p>
    <w:p>
      <w:r>
        <w:br w:type="page"/>
      </w:r>
    </w:p>
    <w:p>
      <w:pPr>
        <w:pStyle w:val="Heading1"/>
        <w:spacing w:after="180" w:before="360"/>
      </w:pPr>
      <w:r>
        <w:rPr>
          <w:b/>
          <w:bCs/>
          <w:color w:val="1F2A44"/>
          <w:sz w:val="32"/>
          <w:szCs w:val="32"/>
        </w:rPr>
        <w:t xml:space="preserve">4. Sicherheit und Datenschutz</w:t>
      </w:r>
    </w:p>
    <w:p>
      <w:pPr>
        <w:spacing w:after="120" w:line="300"/>
      </w:pPr>
      <w:r>
        <w:t xml:space="preserve">Das ist der kritischste Block und der Grund, warum die App HEUTE noch nicht produktiv für Yvonne eingesetzt werden darf. Die Befunde sind aber alle mit Standard-Mitteln behebbar — es sind keine Architektur-Probleme, sondern Dinge, die der Prototyp-Generator schlicht weggelassen hat.</w:t>
      </w:r>
    </w:p>
    <w:p>
      <w:pPr>
        <w:pStyle w:val="Heading2"/>
        <w:spacing w:after="140" w:before="280"/>
      </w:pPr>
      <w:r>
        <w:rPr>
          <w:b/>
          <w:bCs/>
          <w:color w:val="1F2A44"/>
          <w:sz w:val="26"/>
          <w:szCs w:val="26"/>
        </w:rPr>
        <w:t xml:space="preserve">4.1 Kritische Befunde (unbedingt beheben vor produktivem Einsatz)</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4300"/>
      </w:tblGrid>
      <w:tr>
        <w:trPr>
          <w:tblHeader/>
        </w:trPr>
        <w:tc>
          <w:tcPr>
            <w:tcW w:type="dxa" w:w="900"/>
            <w:tcBorders>
              <w:top w:val="single" w:color="CCCCCC" w:sz="4"/>
              <w:left w:val="single" w:color="CCCCCC" w:sz="4"/>
              <w:bottom w:val="single" w:color="CCCCCC" w:sz="4"/>
              <w:right w:val="single" w:color="CCCCCC" w:sz="4"/>
            </w:tcBorders>
            <w:shd w:fill="C0392B" w:val="clear"/>
            <w:tcMar>
              <w:top w:type="dxa" w:w="100"/>
              <w:left w:type="dxa" w:w="140"/>
              <w:bottom w:type="dxa" w:w="100"/>
              <w:right w:type="dxa" w:w="140"/>
            </w:tcMar>
          </w:tcPr>
          <w:p>
            <w:pPr>
              <w:jc w:val="center"/>
            </w:pPr>
            <w:r>
              <w:rPr>
                <w:b/>
                <w:bCs/>
                <w:color w:val="FFFFFF"/>
                <w:sz w:val="20"/>
                <w:szCs w:val="20"/>
              </w:rPr>
              <w:t xml:space="preserve">Nr.</w:t>
            </w:r>
          </w:p>
        </w:tc>
        <w:tc>
          <w:tcPr>
            <w:tcW w:type="dxa" w:w="4200"/>
            <w:tcBorders>
              <w:top w:val="single" w:color="CCCCCC" w:sz="4"/>
              <w:left w:val="single" w:color="CCCCCC" w:sz="4"/>
              <w:bottom w:val="single" w:color="CCCCCC" w:sz="4"/>
              <w:right w:val="single" w:color="CCCCCC" w:sz="4"/>
            </w:tcBorders>
            <w:shd w:fill="C0392B" w:val="clear"/>
            <w:tcMar>
              <w:top w:type="dxa" w:w="100"/>
              <w:left w:type="dxa" w:w="140"/>
              <w:bottom w:type="dxa" w:w="100"/>
              <w:right w:type="dxa" w:w="140"/>
            </w:tcMar>
          </w:tcPr>
          <w:p>
            <w:pPr>
              <w:jc w:val="left"/>
            </w:pPr>
            <w:r>
              <w:rPr>
                <w:b/>
                <w:bCs/>
                <w:color w:val="FFFFFF"/>
                <w:sz w:val="20"/>
                <w:szCs w:val="20"/>
              </w:rPr>
              <w:t xml:space="preserve">Befund</w:t>
            </w:r>
          </w:p>
        </w:tc>
        <w:tc>
          <w:tcPr>
            <w:tcW w:type="dxa" w:w="4300"/>
            <w:tcBorders>
              <w:top w:val="single" w:color="CCCCCC" w:sz="4"/>
              <w:left w:val="single" w:color="CCCCCC" w:sz="4"/>
              <w:bottom w:val="single" w:color="CCCCCC" w:sz="4"/>
              <w:right w:val="single" w:color="CCCCCC" w:sz="4"/>
            </w:tcBorders>
            <w:shd w:fill="C0392B" w:val="clear"/>
            <w:tcMar>
              <w:top w:type="dxa" w:w="100"/>
              <w:left w:type="dxa" w:w="140"/>
              <w:bottom w:type="dxa" w:w="100"/>
              <w:right w:type="dxa" w:w="140"/>
            </w:tcMar>
          </w:tcPr>
          <w:p>
            <w:pPr>
              <w:jc w:val="left"/>
            </w:pPr>
            <w:r>
              <w:rPr>
                <w:b/>
                <w:bCs/>
                <w:color w:val="FFFFFF"/>
                <w:sz w:val="20"/>
                <w:szCs w:val="20"/>
              </w:rPr>
              <w:t xml:space="preserve">Bedeutung / Auswirkung</w:t>
            </w:r>
          </w:p>
        </w:tc>
      </w:tr>
      <w:tr>
        <w:tc>
          <w:tcPr>
            <w:tcW w:type="dxa" w:w="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b/>
                <w:bCs/>
                <w:sz w:val="20"/>
                <w:szCs w:val="20"/>
              </w:rPr>
              <w:t xml:space="preserve">K1</w:t>
            </w:r>
          </w:p>
        </w:tc>
        <w:tc>
          <w:tcPr>
            <w:tcW w:type="dxa" w:w="4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Keine Authentifizierung, keine Session-Prüfung auf irgendeiner Route (/api/customers, /api/receipts, /api/invoices, /api/settings, /api/export).</w:t>
            </w:r>
          </w:p>
        </w:tc>
        <w:tc>
          <w:tcPr>
            <w:tcW w:type="dxa" w:w="4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Jeder, der den Port 5000 erreicht, liest und verändert deine komplette Buchhaltung inkl. IBAN und Kundendaten. Auch im WLAN eines Cafés ein Super-GAU.</w:t>
            </w:r>
          </w:p>
        </w:tc>
      </w:tr>
      <w:tr>
        <w:tc>
          <w:tcPr>
            <w:tcW w:type="dxa" w:w="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b/>
                <w:bCs/>
                <w:sz w:val="20"/>
                <w:szCs w:val="20"/>
              </w:rPr>
              <w:t xml:space="preserve">K2</w:t>
            </w:r>
          </w:p>
        </w:tc>
        <w:tc>
          <w:tcPr>
            <w:tcW w:type="dxa" w:w="4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Nur In-Memory-Speicher (MemStorage). Drizzle ist zwar konfiguriert, wird aber nirgends aufgerufen.</w:t>
            </w:r>
          </w:p>
        </w:tc>
        <w:tc>
          <w:tcPr>
            <w:tcW w:type="dxa" w:w="4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Jeder Neustart (Strom weg, Deploy, Crash) löscht sämtliche Belege und Rechnungen. Unvereinbar mit OR 958f (10-jährige Aufbewahrungspflicht).</w:t>
            </w:r>
          </w:p>
        </w:tc>
      </w:tr>
      <w:tr>
        <w:tc>
          <w:tcPr>
            <w:tcW w:type="dxa" w:w="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b/>
                <w:bCs/>
                <w:sz w:val="20"/>
                <w:szCs w:val="20"/>
              </w:rPr>
              <w:t xml:space="preserve">K3</w:t>
            </w:r>
          </w:p>
        </w:tc>
        <w:tc>
          <w:tcPr>
            <w:tcW w:type="dxa" w:w="4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Keine Eingabevalidierung auf dem Server. Die Zod-Schemas aus shared/schema.ts werden definiert, aber in keiner Route eingesetzt — req.body fliesst ungeprüft durch.</w:t>
            </w:r>
          </w:p>
        </w:tc>
        <w:tc>
          <w:tcPr>
            <w:tcW w:type="dxa" w:w="4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Mass Assignment, falsche Typen, erfundene Felder und unerwartete Werte werden direkt gespeichert. Bei einer späteren DB-Anbindung wird das zur Einfallstür.</w:t>
            </w:r>
          </w:p>
        </w:tc>
      </w:tr>
      <w:tr>
        <w:tc>
          <w:tcPr>
            <w:tcW w:type="dxa" w:w="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b/>
                <w:bCs/>
                <w:sz w:val="20"/>
                <w:szCs w:val="20"/>
              </w:rPr>
              <w:t xml:space="preserve">K4</w:t>
            </w:r>
          </w:p>
        </w:tc>
        <w:tc>
          <w:tcPr>
            <w:tcW w:type="dxa" w:w="4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Der Express-Logger schreibt die komplette JSON-Antwort jeder API-Anfrage in die Konsole (server/index.ts Zeile 47–57), inklusive Base64-kodierter Belegbilder und Kundendaten.</w:t>
            </w:r>
          </w:p>
        </w:tc>
        <w:tc>
          <w:tcPr>
            <w:tcW w:type="dxa" w:w="4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Jeder Serverprozess, jede Log-Aggregation (PM2, Datadog, journald) bekommt sensible Finanz- und Belegdaten ungeschwärzt zu sehen.</w:t>
            </w:r>
          </w:p>
        </w:tc>
      </w:tr>
      <w:tr>
        <w:tc>
          <w:tcPr>
            <w:tcW w:type="dxa" w:w="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b/>
                <w:bCs/>
                <w:sz w:val="20"/>
                <w:szCs w:val="20"/>
              </w:rPr>
              <w:t xml:space="preserve">K5</w:t>
            </w:r>
          </w:p>
        </w:tc>
        <w:tc>
          <w:tcPr>
            <w:tcW w:type="dxa" w:w="4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Keine Obergrenze für POST-Bodies; Belege (fileData) werden als Base64 im selben Datensatz gespeichert.</w:t>
            </w:r>
          </w:p>
        </w:tc>
        <w:tc>
          <w:tcPr>
            <w:tcW w:type="dxa" w:w="4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Ein einziger 20-MB-Scan bläht den Arbeitsspeicher, das Audit-Log und den JSON-Export auf — und kann bei böswilligem Upload den Server kippen.</w:t>
            </w:r>
          </w:p>
        </w:tc>
      </w:tr>
    </w:tbl>
    <w:p>
      <w:pPr>
        <w:pStyle w:val="Heading2"/>
        <w:spacing w:after="140" w:before="280"/>
      </w:pPr>
      <w:r>
        <w:rPr>
          <w:b/>
          <w:bCs/>
          <w:color w:val="1F2A44"/>
          <w:sz w:val="26"/>
          <w:szCs w:val="26"/>
        </w:rPr>
        <w:t xml:space="preserve">4.2 Hohe Risiken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4300"/>
      </w:tblGrid>
      <w:tr>
        <w:trPr>
          <w:tblHeader/>
        </w:trPr>
        <w:tc>
          <w:tcPr>
            <w:tcW w:type="dxa" w:w="900"/>
            <w:tcBorders>
              <w:top w:val="single" w:color="CCCCCC" w:sz="4"/>
              <w:left w:val="single" w:color="CCCCCC" w:sz="4"/>
              <w:bottom w:val="single" w:color="CCCCCC" w:sz="4"/>
              <w:right w:val="single" w:color="CCCCCC" w:sz="4"/>
            </w:tcBorders>
            <w:shd w:fill="E67E22" w:val="clear"/>
            <w:tcMar>
              <w:top w:type="dxa" w:w="100"/>
              <w:left w:type="dxa" w:w="140"/>
              <w:bottom w:type="dxa" w:w="100"/>
              <w:right w:type="dxa" w:w="140"/>
            </w:tcMar>
          </w:tcPr>
          <w:p>
            <w:pPr>
              <w:jc w:val="center"/>
            </w:pPr>
            <w:r>
              <w:rPr>
                <w:b/>
                <w:bCs/>
                <w:color w:val="FFFFFF"/>
                <w:sz w:val="20"/>
                <w:szCs w:val="20"/>
              </w:rPr>
              <w:t xml:space="preserve">Nr.</w:t>
            </w:r>
          </w:p>
        </w:tc>
        <w:tc>
          <w:tcPr>
            <w:tcW w:type="dxa" w:w="4200"/>
            <w:tcBorders>
              <w:top w:val="single" w:color="CCCCCC" w:sz="4"/>
              <w:left w:val="single" w:color="CCCCCC" w:sz="4"/>
              <w:bottom w:val="single" w:color="CCCCCC" w:sz="4"/>
              <w:right w:val="single" w:color="CCCCCC" w:sz="4"/>
            </w:tcBorders>
            <w:shd w:fill="E67E22" w:val="clear"/>
            <w:tcMar>
              <w:top w:type="dxa" w:w="100"/>
              <w:left w:type="dxa" w:w="140"/>
              <w:bottom w:type="dxa" w:w="100"/>
              <w:right w:type="dxa" w:w="140"/>
            </w:tcMar>
          </w:tcPr>
          <w:p>
            <w:pPr>
              <w:jc w:val="left"/>
            </w:pPr>
            <w:r>
              <w:rPr>
                <w:b/>
                <w:bCs/>
                <w:color w:val="FFFFFF"/>
                <w:sz w:val="20"/>
                <w:szCs w:val="20"/>
              </w:rPr>
              <w:t xml:space="preserve">Befund</w:t>
            </w:r>
          </w:p>
        </w:tc>
        <w:tc>
          <w:tcPr>
            <w:tcW w:type="dxa" w:w="4300"/>
            <w:tcBorders>
              <w:top w:val="single" w:color="CCCCCC" w:sz="4"/>
              <w:left w:val="single" w:color="CCCCCC" w:sz="4"/>
              <w:bottom w:val="single" w:color="CCCCCC" w:sz="4"/>
              <w:right w:val="single" w:color="CCCCCC" w:sz="4"/>
            </w:tcBorders>
            <w:shd w:fill="E67E22" w:val="clear"/>
            <w:tcMar>
              <w:top w:type="dxa" w:w="100"/>
              <w:left w:type="dxa" w:w="140"/>
              <w:bottom w:type="dxa" w:w="100"/>
              <w:right w:type="dxa" w:w="140"/>
            </w:tcMar>
          </w:tcPr>
          <w:p>
            <w:pPr>
              <w:jc w:val="left"/>
            </w:pPr>
            <w:r>
              <w:rPr>
                <w:b/>
                <w:bCs/>
                <w:color w:val="FFFFFF"/>
                <w:sz w:val="20"/>
                <w:szCs w:val="20"/>
              </w:rPr>
              <w:t xml:space="preserve">Bedeutung / Auswirkung</w:t>
            </w:r>
          </w:p>
        </w:tc>
      </w:tr>
      <w:tr>
        <w:tc>
          <w:tcPr>
            <w:tcW w:type="dxa" w:w="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b/>
                <w:bCs/>
                <w:sz w:val="20"/>
                <w:szCs w:val="20"/>
              </w:rPr>
              <w:t xml:space="preserve">H1</w:t>
            </w:r>
          </w:p>
        </w:tc>
        <w:tc>
          <w:tcPr>
            <w:tcW w:type="dxa" w:w="4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Keine CSRF-, CORS- oder Security-Header (Helmet).</w:t>
            </w:r>
          </w:p>
        </w:tc>
        <w:tc>
          <w:tcPr>
            <w:tcW w:type="dxa" w:w="4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Jede fremde Webseite kann im Browser des eingeloggten Users API-Calls gegen die App machen (sobald ein Login existiert).</w:t>
            </w:r>
          </w:p>
        </w:tc>
      </w:tr>
      <w:tr>
        <w:tc>
          <w:tcPr>
            <w:tcW w:type="dxa" w:w="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b/>
                <w:bCs/>
                <w:sz w:val="20"/>
                <w:szCs w:val="20"/>
              </w:rPr>
              <w:t xml:space="preserve">H2</w:t>
            </w:r>
          </w:p>
        </w:tc>
        <w:tc>
          <w:tcPr>
            <w:tcW w:type="dxa" w:w="4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Kein Rate-Limit; express-rate-limit ist nur in der Build-Allowlist gelistet, nicht eingebunden.</w:t>
            </w:r>
          </w:p>
        </w:tc>
        <w:tc>
          <w:tcPr>
            <w:tcW w:type="dxa" w:w="4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Brute Force gegen ein späteres Login, Scraping aller Rechnungen in Sekunden möglich.</w:t>
            </w:r>
          </w:p>
        </w:tc>
      </w:tr>
      <w:tr>
        <w:tc>
          <w:tcPr>
            <w:tcW w:type="dxa" w:w="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b/>
                <w:bCs/>
                <w:sz w:val="20"/>
                <w:szCs w:val="20"/>
              </w:rPr>
              <w:t xml:space="preserve">H3</w:t>
            </w:r>
          </w:p>
        </w:tc>
        <w:tc>
          <w:tcPr>
            <w:tcW w:type="dxa" w:w="4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Audit-Log ohne Benutzerbezug: Spalte userId fehlt.</w:t>
            </w:r>
          </w:p>
        </w:tc>
        <w:tc>
          <w:tcPr>
            <w:tcW w:type="dxa" w:w="4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Revisionssicherheit nach OR 958f ist damit nicht herstellbar — bei Mehrbenutzerbetrieb nicht nachvollziehbar, wer was geändert hat.</w:t>
            </w:r>
          </w:p>
        </w:tc>
      </w:tr>
      <w:tr>
        <w:tc>
          <w:tcPr>
            <w:tcW w:type="dxa" w:w="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b/>
                <w:bCs/>
                <w:sz w:val="20"/>
                <w:szCs w:val="20"/>
              </w:rPr>
              <w:t xml:space="preserve">H4</w:t>
            </w:r>
          </w:p>
        </w:tc>
        <w:tc>
          <w:tcPr>
            <w:tcW w:type="dxa" w:w="4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printRef.current.innerHTML fliesst direkt in window.open().document.write() (invoice-detail.tsx Zeile 207).</w:t>
            </w:r>
          </w:p>
        </w:tc>
        <w:tc>
          <w:tcPr>
            <w:tcW w:type="dxa" w:w="4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Solange die Druckansicht nur kontrollierte Daten ausgibt, ist das ok — sobald Rechnungsnotizen oder Kundennamen ungefiltert dort landen, ist XSS im Druckfenster möglich.</w:t>
            </w:r>
          </w:p>
        </w:tc>
      </w:tr>
      <w:tr>
        <w:tc>
          <w:tcPr>
            <w:tcW w:type="dxa" w:w="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b/>
                <w:bCs/>
                <w:sz w:val="20"/>
                <w:szCs w:val="20"/>
              </w:rPr>
              <w:t xml:space="preserve">H5</w:t>
            </w:r>
          </w:p>
        </w:tc>
        <w:tc>
          <w:tcPr>
            <w:tcW w:type="dxa" w:w="4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Keine Verschlüsselung ruhender Daten, keine Backup-Strategie im Code.</w:t>
            </w:r>
          </w:p>
        </w:tc>
        <w:tc>
          <w:tcPr>
            <w:tcW w:type="dxa" w:w="4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Der JSON-Export aus den Einstellungen enthält alles im Klartext und wird nicht verschlüsselt. Laptop verloren = Buchhaltung verloren bzw. lesbar.</w:t>
            </w:r>
          </w:p>
        </w:tc>
      </w:tr>
    </w:tbl>
    <w:p>
      <w:pPr>
        <w:pStyle w:val="Heading2"/>
        <w:spacing w:after="140" w:before="280"/>
      </w:pPr>
      <w:r>
        <w:rPr>
          <w:b/>
          <w:bCs/>
          <w:color w:val="1F2A44"/>
          <w:sz w:val="26"/>
          <w:szCs w:val="26"/>
        </w:rPr>
        <w:t xml:space="preserve">4.3 Mittlere Risiken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4300"/>
      </w:tblGrid>
      <w:tr>
        <w:trPr>
          <w:tblHeader/>
        </w:trPr>
        <w:tc>
          <w:tcPr>
            <w:tcW w:type="dxa" w:w="900"/>
            <w:tcBorders>
              <w:top w:val="single" w:color="CCCCCC" w:sz="4"/>
              <w:left w:val="single" w:color="CCCCCC" w:sz="4"/>
              <w:bottom w:val="single" w:color="CCCCCC" w:sz="4"/>
              <w:right w:val="single" w:color="CCCCCC" w:sz="4"/>
            </w:tcBorders>
            <w:shd w:fill="F1C40F" w:val="clear"/>
            <w:tcMar>
              <w:top w:type="dxa" w:w="100"/>
              <w:left w:type="dxa" w:w="140"/>
              <w:bottom w:type="dxa" w:w="100"/>
              <w:right w:type="dxa" w:w="140"/>
            </w:tcMar>
          </w:tcPr>
          <w:p>
            <w:pPr>
              <w:jc w:val="center"/>
            </w:pPr>
            <w:r>
              <w:rPr>
                <w:b/>
                <w:bCs/>
                <w:color w:val="FFFFFF"/>
                <w:sz w:val="20"/>
                <w:szCs w:val="20"/>
              </w:rPr>
              <w:t xml:space="preserve">Nr.</w:t>
            </w:r>
          </w:p>
        </w:tc>
        <w:tc>
          <w:tcPr>
            <w:tcW w:type="dxa" w:w="4200"/>
            <w:tcBorders>
              <w:top w:val="single" w:color="CCCCCC" w:sz="4"/>
              <w:left w:val="single" w:color="CCCCCC" w:sz="4"/>
              <w:bottom w:val="single" w:color="CCCCCC" w:sz="4"/>
              <w:right w:val="single" w:color="CCCCCC" w:sz="4"/>
            </w:tcBorders>
            <w:shd w:fill="F1C40F" w:val="clear"/>
            <w:tcMar>
              <w:top w:type="dxa" w:w="100"/>
              <w:left w:type="dxa" w:w="140"/>
              <w:bottom w:type="dxa" w:w="100"/>
              <w:right w:type="dxa" w:w="140"/>
            </w:tcMar>
          </w:tcPr>
          <w:p>
            <w:pPr>
              <w:jc w:val="left"/>
            </w:pPr>
            <w:r>
              <w:rPr>
                <w:b/>
                <w:bCs/>
                <w:color w:val="FFFFFF"/>
                <w:sz w:val="20"/>
                <w:szCs w:val="20"/>
              </w:rPr>
              <w:t xml:space="preserve">Befund</w:t>
            </w:r>
          </w:p>
        </w:tc>
        <w:tc>
          <w:tcPr>
            <w:tcW w:type="dxa" w:w="4300"/>
            <w:tcBorders>
              <w:top w:val="single" w:color="CCCCCC" w:sz="4"/>
              <w:left w:val="single" w:color="CCCCCC" w:sz="4"/>
              <w:bottom w:val="single" w:color="CCCCCC" w:sz="4"/>
              <w:right w:val="single" w:color="CCCCCC" w:sz="4"/>
            </w:tcBorders>
            <w:shd w:fill="F1C40F" w:val="clear"/>
            <w:tcMar>
              <w:top w:type="dxa" w:w="100"/>
              <w:left w:type="dxa" w:w="140"/>
              <w:bottom w:type="dxa" w:w="100"/>
              <w:right w:type="dxa" w:w="140"/>
            </w:tcMar>
          </w:tcPr>
          <w:p>
            <w:pPr>
              <w:jc w:val="left"/>
            </w:pPr>
            <w:r>
              <w:rPr>
                <w:b/>
                <w:bCs/>
                <w:color w:val="FFFFFF"/>
                <w:sz w:val="20"/>
                <w:szCs w:val="20"/>
              </w:rPr>
              <w:t xml:space="preserve">Bedeutung / Auswirkung</w:t>
            </w:r>
          </w:p>
        </w:tc>
      </w:tr>
      <w:tr>
        <w:tc>
          <w:tcPr>
            <w:tcW w:type="dxa" w:w="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b/>
                <w:bCs/>
                <w:sz w:val="20"/>
                <w:szCs w:val="20"/>
              </w:rPr>
              <w:t xml:space="preserve">M1</w:t>
            </w:r>
          </w:p>
        </w:tc>
        <w:tc>
          <w:tcPr>
            <w:tcW w:type="dxa" w:w="4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Alle IDs als varchar/text statt uuid, keine Fremdschlüssel-Constraints zwischen invoiceItems → invoices oder bookings → receipts.</w:t>
            </w:r>
          </w:p>
        </w:tc>
        <w:tc>
          <w:tcPr>
            <w:tcW w:type="dxa" w:w="4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Datenintegrität kann verletzt werden (Positionen ohne Rechnung), Inkonsistenzen tauchen erst im Dashboard auf.</w:t>
            </w:r>
          </w:p>
        </w:tc>
      </w:tr>
      <w:tr>
        <w:tc>
          <w:tcPr>
            <w:tcW w:type="dxa" w:w="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b/>
                <w:bCs/>
                <w:sz w:val="20"/>
                <w:szCs w:val="20"/>
              </w:rPr>
              <w:t xml:space="preserve">M2</w:t>
            </w:r>
          </w:p>
        </w:tc>
        <w:tc>
          <w:tcPr>
            <w:tcW w:type="dxa" w:w="4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Alle Geldbeträge in text-Feldern.</w:t>
            </w:r>
          </w:p>
        </w:tc>
        <w:tc>
          <w:tcPr>
            <w:tcW w:type="dxa" w:w="4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Fliesskomma-/Rundungsfehler und keine DB-seitige Prüfsumme. numeric(14,2) wäre Pflicht.</w:t>
            </w:r>
          </w:p>
        </w:tc>
      </w:tr>
      <w:tr>
        <w:tc>
          <w:tcPr>
            <w:tcW w:type="dxa" w:w="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b/>
                <w:bCs/>
                <w:sz w:val="20"/>
                <w:szCs w:val="20"/>
              </w:rPr>
              <w:t xml:space="preserve">M3</w:t>
            </w:r>
          </w:p>
        </w:tc>
        <w:tc>
          <w:tcPr>
            <w:tcW w:type="dxa" w:w="4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Keine Indexe in shared/schema.ts auf Datumsfeldern.</w:t>
            </w:r>
          </w:p>
        </w:tc>
        <w:tc>
          <w:tcPr>
            <w:tcW w:type="dxa" w:w="4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Filter nach Jahr werden mit wachsender Datenmenge langsam.</w:t>
            </w:r>
          </w:p>
        </w:tc>
      </w:tr>
      <w:tr>
        <w:tc>
          <w:tcPr>
            <w:tcW w:type="dxa" w:w="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b/>
                <w:bCs/>
                <w:sz w:val="20"/>
                <w:szCs w:val="20"/>
              </w:rPr>
              <w:t xml:space="preserve">M4</w:t>
            </w:r>
          </w:p>
        </w:tc>
        <w:tc>
          <w:tcPr>
            <w:tcW w:type="dxa" w:w="4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Keine ENV-Dokumentation (.env.example fehlt), DATABASE_URL nur in drizzle.config.ts verlangt.</w:t>
            </w:r>
          </w:p>
        </w:tc>
        <w:tc>
          <w:tcPr>
            <w:tcW w:type="dxa" w:w="4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Secrets-Management ist nicht definiert; Gefahr, dass Zugangsdaten ins Repo gelangen.</w:t>
            </w:r>
          </w:p>
        </w:tc>
      </w:tr>
    </w:tbl>
    <w:p>
      <w:pPr>
        <w:pStyle w:val="Heading2"/>
        <w:spacing w:after="140" w:before="280"/>
      </w:pPr>
      <w:r>
        <w:rPr>
          <w:b/>
          <w:bCs/>
          <w:color w:val="1F2A44"/>
          <w:sz w:val="26"/>
          <w:szCs w:val="26"/>
        </w:rPr>
        <w:t xml:space="preserve">4.4 Datenschutz (revDSG, DSGVO)</w:t>
      </w:r>
    </w:p>
    <w:p>
      <w:pPr>
        <w:pStyle w:val="ListParagraph"/>
        <w:numPr>
          <w:ilvl w:val="0"/>
          <w:numId w:val="2"/>
        </w:numPr>
        <w:spacing w:after="60" w:line="280"/>
      </w:pPr>
      <w:r>
        <w:rPr>
          <w:sz w:val="22"/>
          <w:szCs w:val="22"/>
        </w:rPr>
        <w:t xml:space="preserve">Betrieb nur im eigenen Netzwerk (Option A der Anleitung) reduziert das Risiko, ersetzt aber keinen Zugriffsschutz. Andere Personen im WLAN hätten vollen Zugriff.</w:t>
      </w:r>
    </w:p>
    <w:p>
      <w:pPr>
        <w:pStyle w:val="ListParagraph"/>
        <w:numPr>
          <w:ilvl w:val="0"/>
          <w:numId w:val="2"/>
        </w:numPr>
        <w:spacing w:after="60" w:line="280"/>
      </w:pPr>
      <w:r>
        <w:rPr>
          <w:sz w:val="22"/>
          <w:szCs w:val="22"/>
        </w:rPr>
        <w:t xml:space="preserve">VPS-Betrieb (Hetzner, DigitalOcean, Infomaniak) ist ohne vorgeschaltetes Login und ohne HTTPS eine Verletzung der Datensicherheitspflichten nach revDSG Art. 8.</w:t>
      </w:r>
    </w:p>
    <w:p>
      <w:pPr>
        <w:pStyle w:val="ListParagraph"/>
        <w:numPr>
          <w:ilvl w:val="0"/>
          <w:numId w:val="2"/>
        </w:numPr>
        <w:spacing w:after="60" w:line="280"/>
      </w:pPr>
      <w:r>
        <w:rPr>
          <w:sz w:val="22"/>
          <w:szCs w:val="22"/>
        </w:rPr>
        <w:t xml:space="preserve">Datenstandort-Empfehlung für Yvonne: Infomaniak (CH) — Schweizer Hosting, revDSG-konform, ca. CHF 5.75/Mt. Alternativ Hetzner DE (EU-konform, ca. CHF 4.50/Mt.). Railway/Render (US-PaaS) würde ich für Buchhaltungsdaten nicht empfehlen.</w:t>
      </w:r>
    </w:p>
    <w:p>
      <w:pPr>
        <w:pStyle w:val="ListParagraph"/>
        <w:numPr>
          <w:ilvl w:val="0"/>
          <w:numId w:val="2"/>
        </w:numPr>
        <w:spacing w:after="60" w:line="280"/>
      </w:pPr>
      <w:r>
        <w:rPr>
          <w:sz w:val="22"/>
          <w:szCs w:val="22"/>
        </w:rPr>
        <w:t xml:space="preserve">Aufbewahrung: OR 958f verlangt 10 Jahre lesbare Aufbewahrung. Eine JSON-Datei alleine reicht dafür nicht; gefordert ist Integrität und Unveränderbarkeit (z. B. archivsichere PDF/A pro Jahr plus Datenbank-Backup).</w:t>
      </w:r>
    </w:p>
    <w:p>
      <w:r>
        <w:br w:type="page"/>
      </w:r>
    </w:p>
    <w:p>
      <w:pPr>
        <w:pStyle w:val="Heading1"/>
        <w:spacing w:after="180" w:before="360"/>
      </w:pPr>
      <w:r>
        <w:rPr>
          <w:b/>
          <w:bCs/>
          <w:color w:val="1F2A44"/>
          <w:sz w:val="32"/>
          <w:szCs w:val="32"/>
        </w:rPr>
        <w:t xml:space="preserve">5. Code-Qualität und UX</w:t>
      </w:r>
    </w:p>
    <w:p>
      <w:pPr>
        <w:pStyle w:val="Heading2"/>
        <w:spacing w:after="140" w:before="280"/>
      </w:pPr>
      <w:r>
        <w:rPr>
          <w:b/>
          <w:bCs/>
          <w:color w:val="1F2A44"/>
          <w:sz w:val="26"/>
          <w:szCs w:val="26"/>
        </w:rPr>
        <w:t xml:space="preserve">5.1 Was der Autor gut gemacht hat</w:t>
      </w:r>
    </w:p>
    <w:p>
      <w:pPr>
        <w:pStyle w:val="ListParagraph"/>
        <w:numPr>
          <w:ilvl w:val="0"/>
          <w:numId w:val="2"/>
        </w:numPr>
        <w:spacing w:after="60" w:line="280"/>
      </w:pPr>
      <w:r>
        <w:rPr>
          <w:sz w:val="22"/>
          <w:szCs w:val="22"/>
        </w:rPr>
        <w:t xml:space="preserve">TypeScript ist konsequent strict; Shared-Types zwischen Client und Server liegen sauber in /shared.</w:t>
      </w:r>
    </w:p>
    <w:p>
      <w:pPr>
        <w:pStyle w:val="ListParagraph"/>
        <w:numPr>
          <w:ilvl w:val="0"/>
          <w:numId w:val="2"/>
        </w:numPr>
        <w:spacing w:after="60" w:line="280"/>
      </w:pPr>
      <w:r>
        <w:rPr>
          <w:sz w:val="22"/>
          <w:szCs w:val="22"/>
        </w:rPr>
        <w:t xml:space="preserve">Drizzle + drizzle-zod ist die richtige Wahl — Schema und Zod-Validierung aus einer Quelle.</w:t>
      </w:r>
    </w:p>
    <w:p>
      <w:pPr>
        <w:pStyle w:val="ListParagraph"/>
        <w:numPr>
          <w:ilvl w:val="0"/>
          <w:numId w:val="2"/>
        </w:numPr>
        <w:spacing w:after="60" w:line="280"/>
      </w:pPr>
      <w:r>
        <w:rPr>
          <w:sz w:val="22"/>
          <w:szCs w:val="22"/>
        </w:rPr>
        <w:t xml:space="preserve">shadcn/ui + Radix + Tailwind liefern solide Accessibility-Grundlagen; Dark Mode ist bereits angelegt.</w:t>
      </w:r>
    </w:p>
    <w:p>
      <w:pPr>
        <w:pStyle w:val="ListParagraph"/>
        <w:numPr>
          <w:ilvl w:val="0"/>
          <w:numId w:val="2"/>
        </w:numPr>
        <w:spacing w:after="60" w:line="280"/>
      </w:pPr>
      <w:r>
        <w:rPr>
          <w:sz w:val="22"/>
          <w:szCs w:val="22"/>
        </w:rPr>
        <w:t xml:space="preserve">TanStack Query mit staleTime: Infinity ist für eine Offline-taugliche lokale App eine vernünftige Wahl.</w:t>
      </w:r>
    </w:p>
    <w:p>
      <w:pPr>
        <w:pStyle w:val="ListParagraph"/>
        <w:numPr>
          <w:ilvl w:val="0"/>
          <w:numId w:val="2"/>
        </w:numPr>
        <w:spacing w:after="60" w:line="280"/>
      </w:pPr>
      <w:r>
        <w:rPr>
          <w:sz w:val="22"/>
          <w:szCs w:val="22"/>
        </w:rPr>
        <w:t xml:space="preserve">Klare Schichtung: routes.ts → storage.ts → schema.ts, gut erweiterbar.</w:t>
      </w:r>
    </w:p>
    <w:p>
      <w:pPr>
        <w:pStyle w:val="Heading2"/>
        <w:spacing w:after="140" w:before="280"/>
      </w:pPr>
      <w:r>
        <w:rPr>
          <w:b/>
          <w:bCs/>
          <w:color w:val="1F2A44"/>
          <w:sz w:val="26"/>
          <w:szCs w:val="26"/>
        </w:rPr>
        <w:t xml:space="preserve">5.2 Qualitäts-Schwachpunkte</w:t>
      </w:r>
    </w:p>
    <w:p>
      <w:pPr>
        <w:pStyle w:val="ListParagraph"/>
        <w:numPr>
          <w:ilvl w:val="0"/>
          <w:numId w:val="2"/>
        </w:numPr>
        <w:spacing w:after="60" w:line="280"/>
      </w:pPr>
      <w:r>
        <w:rPr>
          <w:sz w:val="22"/>
          <w:szCs w:val="22"/>
        </w:rPr>
        <w:t xml:space="preserve">Keine Tests (weder Unit noch Integration). Bei Finanzlogik ist das ein harter Mangel.</w:t>
      </w:r>
    </w:p>
    <w:p>
      <w:pPr>
        <w:pStyle w:val="ListParagraph"/>
        <w:numPr>
          <w:ilvl w:val="0"/>
          <w:numId w:val="2"/>
        </w:numPr>
        <w:spacing w:after="60" w:line="280"/>
      </w:pPr>
      <w:r>
        <w:rPr>
          <w:sz w:val="22"/>
          <w:szCs w:val="22"/>
        </w:rPr>
        <w:t xml:space="preserve">IStorage-Interface ist ein gutes Pattern, wird aber nur einmal implementiert (MemStorage); eine PgStorage-Implementierung fehlt trotz vorhandener pg- und drizzle-Pakete.</w:t>
      </w:r>
    </w:p>
    <w:p>
      <w:pPr>
        <w:pStyle w:val="ListParagraph"/>
        <w:numPr>
          <w:ilvl w:val="0"/>
          <w:numId w:val="2"/>
        </w:numPr>
        <w:spacing w:after="60" w:line="280"/>
      </w:pPr>
      <w:r>
        <w:rPr>
          <w:sz w:val="22"/>
          <w:szCs w:val="22"/>
        </w:rPr>
        <w:t xml:space="preserve">Fehlerbehandlung ist an vielen Stellen generisch: res.status(400).json({ error: e.message }) — potenziell werden interne Fehlermeldungen und Stacktraces durchgereicht.</w:t>
      </w:r>
    </w:p>
    <w:p>
      <w:pPr>
        <w:pStyle w:val="ListParagraph"/>
        <w:numPr>
          <w:ilvl w:val="0"/>
          <w:numId w:val="2"/>
        </w:numPr>
        <w:spacing w:after="60" w:line="280"/>
      </w:pPr>
      <w:r>
        <w:rPr>
          <w:sz w:val="22"/>
          <w:szCs w:val="22"/>
        </w:rPr>
        <w:t xml:space="preserve">Alias „@assets“ zeigt auf einen nicht existierenden Ordner attached_assets — entweder unnötig oder ein Artefakt aus dem Generator.</w:t>
      </w:r>
    </w:p>
    <w:p>
      <w:pPr>
        <w:pStyle w:val="ListParagraph"/>
        <w:numPr>
          <w:ilvl w:val="0"/>
          <w:numId w:val="2"/>
        </w:numPr>
        <w:spacing w:after="60" w:line="280"/>
      </w:pPr>
      <w:r>
        <w:rPr>
          <w:sz w:val="22"/>
          <w:szCs w:val="22"/>
        </w:rPr>
        <w:t xml:space="preserve">Einige Felder sind semantisch falsch: fiscalYear ist als text mit Default „2026“ fest eingetragen — das muss jedes Jahr pro User angepasst werden.</w:t>
      </w:r>
    </w:p>
    <w:p>
      <w:pPr>
        <w:pStyle w:val="Heading2"/>
        <w:spacing w:after="140" w:before="280"/>
      </w:pPr>
      <w:r>
        <w:rPr>
          <w:b/>
          <w:bCs/>
          <w:color w:val="1F2A44"/>
          <w:sz w:val="26"/>
          <w:szCs w:val="26"/>
        </w:rPr>
        <w:t xml:space="preserve">5.3 UX</w:t>
      </w:r>
    </w:p>
    <w:p>
      <w:pPr>
        <w:pStyle w:val="ListParagraph"/>
        <w:numPr>
          <w:ilvl w:val="0"/>
          <w:numId w:val="2"/>
        </w:numPr>
        <w:spacing w:after="60" w:line="280"/>
      </w:pPr>
      <w:r>
        <w:rPr>
          <w:sz w:val="22"/>
          <w:szCs w:val="22"/>
        </w:rPr>
        <w:t xml:space="preserve">Die Oberfläche ist aufgeräumt, reduziert, wirkt professionell — für eine generierte App erstaunlich gut.</w:t>
      </w:r>
    </w:p>
    <w:p>
      <w:pPr>
        <w:pStyle w:val="ListParagraph"/>
        <w:numPr>
          <w:ilvl w:val="0"/>
          <w:numId w:val="2"/>
        </w:numPr>
        <w:spacing w:after="60" w:line="280"/>
      </w:pPr>
      <w:r>
        <w:rPr>
          <w:sz w:val="22"/>
          <w:szCs w:val="22"/>
        </w:rPr>
        <w:t xml:space="preserve">Tastaturbedienung und Screen-Reader-Unterstützung profitieren von Radix-Primitiven; echte WCAG-Prüfung fehlt trotzdem.</w:t>
      </w:r>
    </w:p>
    <w:p>
      <w:pPr>
        <w:pStyle w:val="ListParagraph"/>
        <w:numPr>
          <w:ilvl w:val="0"/>
          <w:numId w:val="2"/>
        </w:numPr>
        <w:spacing w:after="60" w:line="280"/>
      </w:pPr>
      <w:r>
        <w:rPr>
          <w:sz w:val="22"/>
          <w:szCs w:val="22"/>
        </w:rPr>
        <w:t xml:space="preserve">Deutsche Begriffe sind korrekt (MWST, Beleg, Buchung, Einnahme, Ausgabe, Privatentnahme, Privateinlage). Keine Schreibfehler gefunden.</w:t>
      </w:r>
    </w:p>
    <w:p>
      <w:pPr>
        <w:pStyle w:val="ListParagraph"/>
        <w:numPr>
          <w:ilvl w:val="0"/>
          <w:numId w:val="2"/>
        </w:numPr>
        <w:spacing w:after="60" w:line="280"/>
      </w:pPr>
      <w:r>
        <w:rPr>
          <w:sz w:val="22"/>
          <w:szCs w:val="22"/>
        </w:rPr>
        <w:t xml:space="preserve">Keine Mehrwährungsanzeige, keine Wechselkurs-Spalte — für deinen Kontext (Logistik/Luftfracht) spürbar fehlend.</w:t>
      </w:r>
    </w:p>
    <w:p>
      <w:pPr>
        <w:pStyle w:val="ListParagraph"/>
        <w:numPr>
          <w:ilvl w:val="0"/>
          <w:numId w:val="2"/>
        </w:numPr>
        <w:spacing w:after="60" w:line="280"/>
      </w:pPr>
      <w:r>
        <w:rPr>
          <w:sz w:val="22"/>
          <w:szCs w:val="22"/>
        </w:rPr>
        <w:t xml:space="preserve">Keine Onboarding-/Leerzustands-Führung. Ein Ersteinrichtungs-Wizard würde den „Beleg-ohne-Kunde“-Tippfehler verhindern.</w:t>
      </w:r>
    </w:p>
    <w:p>
      <w:pPr>
        <w:pStyle w:val="Heading1"/>
        <w:spacing w:after="180" w:before="360"/>
      </w:pPr>
      <w:r>
        <w:rPr>
          <w:b/>
          <w:bCs/>
          <w:color w:val="1F2A44"/>
          <w:sz w:val="32"/>
          <w:szCs w:val="32"/>
        </w:rPr>
        <w:t xml:space="preserve">6. Roadmap zur Bexio-Ablösung</w:t>
      </w:r>
    </w:p>
    <w:p>
      <w:pPr>
        <w:spacing w:after="120" w:line="300"/>
      </w:pPr>
      <w:r>
        <w:t xml:space="preserve">Die Verbesserungsvorschläge sind bewusst in drei Etappen gruppiert. Yvonne kann damit heute starten (Must), schrittweise auf Bexio-Niveau kommen (Should) und am Ende Funktionen haben, die Bexio gar nicht bietet (Could).</w:t>
      </w:r>
    </w:p>
    <w:p>
      <w:pPr>
        <w:pStyle w:val="Heading2"/>
        <w:spacing w:after="140" w:before="280"/>
      </w:pPr>
      <w:r>
        <w:rPr>
          <w:b/>
          <w:bCs/>
          <w:color w:val="1F2A44"/>
          <w:sz w:val="26"/>
          <w:szCs w:val="26"/>
        </w:rPr>
        <w:t xml:space="preserve">6.1 Must — Etappe 1: Damit die App überhaupt produktiv einsetzbar ist</w:t>
      </w:r>
    </w:p>
    <w:p>
      <w:pPr>
        <w:pStyle w:val="ListParagraph"/>
        <w:numPr>
          <w:ilvl w:val="0"/>
          <w:numId w:val="3"/>
        </w:numPr>
        <w:spacing w:after="60" w:line="280"/>
      </w:pPr>
      <w:r>
        <w:rPr>
          <w:sz w:val="22"/>
          <w:szCs w:val="22"/>
        </w:rPr>
        <w:t xml:space="preserve">PostgreSQL (oder SQLite via better-sqlite3) aktivieren — dazu gibt es mit Drizzle bereits das halbe Gerüst. Anleitung schlägt drizzle-kit push vor. Ohne persistente Datenbank ist die App kein Buchhaltungswerkzeug, sondern eine teure Demo.</w:t>
      </w:r>
    </w:p>
    <w:p>
      <w:pPr>
        <w:pStyle w:val="ListParagraph"/>
        <w:numPr>
          <w:ilvl w:val="0"/>
          <w:numId w:val="3"/>
        </w:numPr>
        <w:spacing w:after="60" w:line="280"/>
      </w:pPr>
      <w:r>
        <w:rPr>
          <w:sz w:val="22"/>
          <w:szCs w:val="22"/>
        </w:rPr>
        <w:t xml:space="preserve">Login-System einbauen (passport-local + express-session + connect-pg-simple ist schon installiert) — mindestens ein Single-User-Login mit bcrypt-gehashtem Passwort, besser mit einem zweiten Faktor (TOTP).</w:t>
      </w:r>
    </w:p>
    <w:p>
      <w:pPr>
        <w:pStyle w:val="ListParagraph"/>
        <w:numPr>
          <w:ilvl w:val="0"/>
          <w:numId w:val="3"/>
        </w:numPr>
        <w:spacing w:after="60" w:line="280"/>
      </w:pPr>
      <w:r>
        <w:rPr>
          <w:sz w:val="22"/>
          <w:szCs w:val="22"/>
        </w:rPr>
        <w:t xml:space="preserve">Zod-Validierung auf jeder POST/PUT-Route aktivieren. Die Schemas insertCustomerSchema, insertReceiptSchema usw. werden definiert, aber nicht benutzt — einfach insertReceiptSchema.parse(req.body) einsetzen.</w:t>
      </w:r>
    </w:p>
    <w:p>
      <w:pPr>
        <w:pStyle w:val="ListParagraph"/>
        <w:numPr>
          <w:ilvl w:val="0"/>
          <w:numId w:val="3"/>
        </w:numPr>
        <w:spacing w:after="60" w:line="280"/>
      </w:pPr>
      <w:r>
        <w:rPr>
          <w:sz w:val="22"/>
          <w:szCs w:val="22"/>
        </w:rPr>
        <w:t xml:space="preserve">Express-Logger bereinigen: im API-Logger die JSON-Response NICHT mehr ausgeben oder mindestens fileData, fileName und Finanzbeträge maskieren.</w:t>
      </w:r>
    </w:p>
    <w:p>
      <w:pPr>
        <w:pStyle w:val="ListParagraph"/>
        <w:numPr>
          <w:ilvl w:val="0"/>
          <w:numId w:val="3"/>
        </w:numPr>
        <w:spacing w:after="60" w:line="280"/>
      </w:pPr>
      <w:r>
        <w:rPr>
          <w:sz w:val="22"/>
          <w:szCs w:val="22"/>
        </w:rPr>
        <w:t xml:space="preserve">Upload-Limit setzen (z. B. express.json({ limit: '5mb' })) und Belegdateien aus der DB heraus in einen separaten Datei-Store (lokales Dateisystem oder S3-kompatibel) auslagern — die Base64-in-Text-Lösung skaliert nicht.</w:t>
      </w:r>
    </w:p>
    <w:p>
      <w:pPr>
        <w:pStyle w:val="Heading2"/>
        <w:spacing w:after="140" w:before="280"/>
      </w:pPr>
      <w:r>
        <w:rPr>
          <w:b/>
          <w:bCs/>
          <w:color w:val="1F2A44"/>
          <w:sz w:val="26"/>
          <w:szCs w:val="26"/>
        </w:rPr>
        <w:t xml:space="preserve">6.2 Should — Etappe 2: Damit es Bexio funktional ebenbürtig ist</w:t>
      </w:r>
    </w:p>
    <w:p>
      <w:pPr>
        <w:pStyle w:val="ListParagraph"/>
        <w:numPr>
          <w:ilvl w:val="0"/>
          <w:numId w:val="3"/>
        </w:numPr>
        <w:spacing w:after="60" w:line="280"/>
      </w:pPr>
      <w:r>
        <w:rPr>
          <w:sz w:val="22"/>
          <w:szCs w:val="22"/>
        </w:rPr>
        <w:t xml:space="preserve">Schweizer QR-Rechnung einbauen (z. B. Paket swissqrbill) und dazu eine echte PDF-Generierung (pdfkit) statt window.open.</w:t>
      </w:r>
    </w:p>
    <w:p>
      <w:pPr>
        <w:pStyle w:val="ListParagraph"/>
        <w:numPr>
          <w:ilvl w:val="0"/>
          <w:numId w:val="3"/>
        </w:numPr>
        <w:spacing w:after="60" w:line="280"/>
      </w:pPr>
      <w:r>
        <w:rPr>
          <w:sz w:val="22"/>
          <w:szCs w:val="22"/>
        </w:rPr>
        <w:t xml:space="preserve">Geldbeträge in der Datenbank als numeric(14,2) abbilden (Drizzle unterstützt das direkt) und im Code über decimal.js rechnen.</w:t>
      </w:r>
    </w:p>
    <w:p>
      <w:pPr>
        <w:pStyle w:val="ListParagraph"/>
        <w:numPr>
          <w:ilvl w:val="0"/>
          <w:numId w:val="3"/>
        </w:numPr>
        <w:spacing w:after="60" w:line="280"/>
      </w:pPr>
      <w:r>
        <w:rPr>
          <w:sz w:val="22"/>
          <w:szCs w:val="22"/>
        </w:rPr>
        <w:t xml:space="preserve">Fremdwährungslogik: pro Beleg originalCurrency, originalAmount, exchangeRate und amountChf. Tageskurs optional automatisch via ESTV-API.</w:t>
      </w:r>
    </w:p>
    <w:p>
      <w:pPr>
        <w:pStyle w:val="ListParagraph"/>
        <w:numPr>
          <w:ilvl w:val="0"/>
          <w:numId w:val="3"/>
        </w:numPr>
        <w:spacing w:after="60" w:line="280"/>
      </w:pPr>
      <w:r>
        <w:rPr>
          <w:sz w:val="22"/>
          <w:szCs w:val="22"/>
        </w:rPr>
        <w:t xml:space="preserve">Audit-Log erweitern um userId, ipAddress und vorher/nachher-Snapshot; auf keine Löschung im Audit-Log selbst — nur Append.</w:t>
      </w:r>
    </w:p>
    <w:p>
      <w:pPr>
        <w:pStyle w:val="ListParagraph"/>
        <w:numPr>
          <w:ilvl w:val="0"/>
          <w:numId w:val="3"/>
        </w:numPr>
        <w:spacing w:after="60" w:line="280"/>
      </w:pPr>
      <w:r>
        <w:rPr>
          <w:sz w:val="22"/>
          <w:szCs w:val="22"/>
        </w:rPr>
        <w:t xml:space="preserve">Exportformate: neben JSON zusätzlich CSV (Banana-/Bexio-tauglich) und PDF (Jahresjournal) für den Steuerberater.</w:t>
      </w:r>
    </w:p>
    <w:p>
      <w:pPr>
        <w:pStyle w:val="ListParagraph"/>
        <w:numPr>
          <w:ilvl w:val="0"/>
          <w:numId w:val="3"/>
        </w:numPr>
        <w:spacing w:after="60" w:line="280"/>
      </w:pPr>
      <w:r>
        <w:rPr>
          <w:sz w:val="22"/>
          <w:szCs w:val="22"/>
        </w:rPr>
        <w:t xml:space="preserve">MWST-Abrechnungsformular (effektive Methode) als CSV / XML für die ESTV-Plattform vorbereiten.</w:t>
      </w:r>
    </w:p>
    <w:p>
      <w:pPr>
        <w:pStyle w:val="Heading2"/>
        <w:spacing w:after="140" w:before="280"/>
      </w:pPr>
      <w:r>
        <w:rPr>
          <w:b/>
          <w:bCs/>
          <w:color w:val="1F2A44"/>
          <w:sz w:val="26"/>
          <w:szCs w:val="26"/>
        </w:rPr>
        <w:t xml:space="preserve">6.3 Could — Etappe 3: Funktionen, die Bexio nicht hat</w:t>
      </w:r>
    </w:p>
    <w:p>
      <w:pPr>
        <w:pStyle w:val="ListParagraph"/>
        <w:numPr>
          <w:ilvl w:val="0"/>
          <w:numId w:val="3"/>
        </w:numPr>
        <w:spacing w:after="60" w:line="280"/>
      </w:pPr>
      <w:r>
        <w:rPr>
          <w:sz w:val="22"/>
          <w:szCs w:val="22"/>
        </w:rPr>
        <w:t xml:space="preserve">Bank-CSV-Import (Camt.053 oder mindestens Postfinance-/Raiffeisen-CSV) mit halbautomatischer Zuordnung zu offenen Rechnungen.</w:t>
      </w:r>
    </w:p>
    <w:p>
      <w:pPr>
        <w:pStyle w:val="ListParagraph"/>
        <w:numPr>
          <w:ilvl w:val="0"/>
          <w:numId w:val="3"/>
        </w:numPr>
        <w:spacing w:after="60" w:line="280"/>
      </w:pPr>
      <w:r>
        <w:rPr>
          <w:sz w:val="22"/>
          <w:szCs w:val="22"/>
        </w:rPr>
        <w:t xml:space="preserve">Kategorien für Yvonnes Geschäft: Produkteinkauf FitLine, Boni-Einnahmen PM-International, Eventkosten, Coaching-Stunden, Social-Media-Werbung, Webhosting — konfigurierbar statt hart codiert.</w:t>
      </w:r>
    </w:p>
    <w:p>
      <w:pPr>
        <w:pStyle w:val="ListParagraph"/>
        <w:numPr>
          <w:ilvl w:val="0"/>
          <w:numId w:val="3"/>
        </w:numPr>
        <w:spacing w:after="60" w:line="280"/>
      </w:pPr>
      <w:r>
        <w:rPr>
          <w:sz w:val="22"/>
          <w:szCs w:val="22"/>
        </w:rPr>
        <w:t xml:space="preserve">Projekt-Zuordnung wird bereits erfasst, aber nirgends ausgewertet — ein kleines „Projekt-Dashboard“ mit Budget-Ist-Vergleich pro Kunde/Linie wäre mit wenig Aufwand möglich.</w:t>
      </w:r>
    </w:p>
    <w:p>
      <w:pPr>
        <w:pStyle w:val="ListParagraph"/>
        <w:numPr>
          <w:ilvl w:val="0"/>
          <w:numId w:val="3"/>
        </w:numPr>
        <w:spacing w:after="60" w:line="280"/>
      </w:pPr>
      <w:r>
        <w:rPr>
          <w:sz w:val="22"/>
          <w:szCs w:val="22"/>
        </w:rPr>
        <w:t xml:space="preserve">Belegerfassung per Handy-Foto: Fotos direkt aus iCloud Drive hochladen, später mit OCR/KI automatische Vorbefüllung (Datum, Betrag, Lieferant).</w:t>
      </w:r>
    </w:p>
    <w:p>
      <w:pPr>
        <w:pStyle w:val="ListParagraph"/>
        <w:numPr>
          <w:ilvl w:val="0"/>
          <w:numId w:val="3"/>
        </w:numPr>
        <w:spacing w:after="60" w:line="280"/>
      </w:pPr>
      <w:r>
        <w:rPr>
          <w:sz w:val="22"/>
          <w:szCs w:val="22"/>
        </w:rPr>
        <w:t xml:space="preserve">Mehrsprachige Rechnungen (DE/EN/FR), falls später internationale FitLine-Kunden dazukommen.</w:t>
      </w:r>
    </w:p>
    <w:p>
      <w:pPr>
        <w:pStyle w:val="ListParagraph"/>
        <w:numPr>
          <w:ilvl w:val="0"/>
          <w:numId w:val="3"/>
        </w:numPr>
        <w:spacing w:after="60" w:line="280"/>
      </w:pPr>
      <w:r>
        <w:rPr>
          <w:sz w:val="22"/>
          <w:szCs w:val="22"/>
        </w:rPr>
        <w:t xml:space="preserve">Tests: Unit-Tests auf calcVatAmount, Dashboard-Summen und Nummernkreise. Vitest ist mit Vite ohnehin praktisch kostenlos.</w:t>
      </w:r>
    </w:p>
    <w:p>
      <w:pPr>
        <w:pStyle w:val="ListParagraph"/>
        <w:numPr>
          <w:ilvl w:val="0"/>
          <w:numId w:val="3"/>
        </w:numPr>
        <w:spacing w:after="60" w:line="280"/>
      </w:pPr>
      <w:r>
        <w:rPr>
          <w:sz w:val="22"/>
          <w:szCs w:val="22"/>
        </w:rPr>
        <w:t xml:space="preserve">KI-Assistent für Yvonne: natürliche Sprache („Buche 240.50 CHF Tankstelle Migrol vom letzten Dienstag“) → strukturierter Beleg-Vorschlag. Dieser Schritt ist mit Claude/OpenAI direkt im Backend machbar.</w:t>
      </w:r>
    </w:p>
    <w:p>
      <w:r>
        <w:br w:type="page"/>
      </w:r>
    </w:p>
    <w:p>
      <w:pPr>
        <w:pStyle w:val="Heading1"/>
        <w:spacing w:after="180" w:before="360"/>
      </w:pPr>
      <w:r>
        <w:rPr>
          <w:b/>
          <w:bCs/>
          <w:color w:val="1F2A44"/>
          <w:sz w:val="32"/>
          <w:szCs w:val="32"/>
        </w:rPr>
        <w:t xml:space="preserve">7. Empfehlung für das Projekt</w:t>
      </w:r>
    </w:p>
    <w:p>
      <w:pPr>
        <w:pStyle w:val="Heading2"/>
        <w:spacing w:after="140" w:before="280"/>
      </w:pPr>
      <w:r>
        <w:rPr>
          <w:b/>
          <w:bCs/>
          <w:color w:val="1F2A44"/>
          <w:sz w:val="26"/>
          <w:szCs w:val="26"/>
        </w:rPr>
        <w:t xml:space="preserve">7.1 Klare Empfehlung</w:t>
      </w:r>
    </w:p>
    <w:p>
      <w:pPr>
        <w:spacing w:after="120" w:line="300"/>
      </w:pPr>
      <w:r>
        <w:rPr>
          <w:b/>
          <w:bCs/>
        </w:rPr>
        <w:t xml:space="preserve">Weitermachen. </w:t>
      </w:r>
      <w:r>
        <w:t xml:space="preserve">Der Prototyp ist eine gute Basis für die geplante Bexio-Ablösung. Bevor Yvonne damit aber echt buchen kann, müssen die Must-Punkte aus Kapitel 6.1 umgesetzt sein (Datenbank, Login, Validierung, Logger entschärfen, Upload-Limit). Solange das nicht der Fall ist: Bexio NICHT kündigen, parallel laufen lassen.</w:t>
      </w:r>
    </w:p>
    <w:p>
      <w:pPr>
        <w:pStyle w:val="Heading2"/>
        <w:spacing w:after="140" w:before="280"/>
      </w:pPr>
      <w:r>
        <w:rPr>
          <w:b/>
          <w:bCs/>
          <w:color w:val="1F2A44"/>
          <w:sz w:val="26"/>
          <w:szCs w:val="26"/>
        </w:rPr>
        <w:t xml:space="preserve">7.2 Vorgeschlagener Ablauf</w:t>
      </w:r>
    </w:p>
    <w:p>
      <w:pPr>
        <w:pStyle w:val="ListParagraph"/>
        <w:numPr>
          <w:ilvl w:val="0"/>
          <w:numId w:val="3"/>
        </w:numPr>
        <w:spacing w:after="60" w:line="280"/>
      </w:pPr>
      <w:r>
        <w:rPr>
          <w:sz w:val="22"/>
          <w:szCs w:val="22"/>
        </w:rPr>
        <w:t xml:space="preserve">Etappe 1 umsetzen (schätzungsweise 3–5 Arbeitstage): PostgreSQL anbinden, Login mit Passport einschalten, Zod-Validierung aktivieren, Logger absichern, Upload-Limit setzen. Danach lokaler Testlauf mit echten Belegen aus einem Vormonat.</w:t>
      </w:r>
    </w:p>
    <w:p>
      <w:pPr>
        <w:pStyle w:val="ListParagraph"/>
        <w:numPr>
          <w:ilvl w:val="0"/>
          <w:numId w:val="3"/>
        </w:numPr>
        <w:spacing w:after="60" w:line="280"/>
      </w:pPr>
      <w:r>
        <w:rPr>
          <w:sz w:val="22"/>
          <w:szCs w:val="22"/>
        </w:rPr>
        <w:t xml:space="preserve">Parallelbetrieb mit Bexio für 1–2 Monate: jede reale Buchung in beiden Systemen erfassen, Ergebnisse gegenprüfen. So fallen Fehler und fehlende Funktionen früh auf.</w:t>
      </w:r>
    </w:p>
    <w:p>
      <w:pPr>
        <w:pStyle w:val="ListParagraph"/>
        <w:numPr>
          <w:ilvl w:val="0"/>
          <w:numId w:val="3"/>
        </w:numPr>
        <w:spacing w:after="60" w:line="280"/>
      </w:pPr>
      <w:r>
        <w:rPr>
          <w:sz w:val="22"/>
          <w:szCs w:val="22"/>
        </w:rPr>
        <w:t xml:space="preserve">Etappe 2 umsetzen (3–5 weitere Tage): QR-Rechnung, PDF-Generierung, Fremdwährung, erweiterter Audit-Log, MWST-Exporte. Erst danach ist das System funktional auf Bexio-Niveau.</w:t>
      </w:r>
    </w:p>
    <w:p>
      <w:pPr>
        <w:pStyle w:val="ListParagraph"/>
        <w:numPr>
          <w:ilvl w:val="0"/>
          <w:numId w:val="3"/>
        </w:numPr>
        <w:spacing w:after="60" w:line="280"/>
      </w:pPr>
      <w:r>
        <w:rPr>
          <w:sz w:val="22"/>
          <w:szCs w:val="22"/>
        </w:rPr>
        <w:t xml:space="preserve">Bexio-Kündigung erst, wenn Etappe 2 fertig, Yvonne drei Monate reibungslos mit der eigenen App arbeitet und mindestens ein Jahresabschluss-Export durchgespielt wurde.</w:t>
      </w:r>
    </w:p>
    <w:p>
      <w:pPr>
        <w:pStyle w:val="ListParagraph"/>
        <w:numPr>
          <w:ilvl w:val="0"/>
          <w:numId w:val="3"/>
        </w:numPr>
        <w:spacing w:after="60" w:line="280"/>
      </w:pPr>
      <w:r>
        <w:rPr>
          <w:sz w:val="22"/>
          <w:szCs w:val="22"/>
        </w:rPr>
        <w:t xml:space="preserve">Etappe 3 (Could) nach Bedarf: Bank-CSV, Beleg-Foto-Upload, KI-Assistent — das sind die Funktionen, die Yvonne aus Bexio heraushaben und die eigene Lösung über Bexio hinausheben.</w:t>
      </w:r>
    </w:p>
    <w:p>
      <w:pPr>
        <w:pStyle w:val="Heading2"/>
        <w:spacing w:after="140" w:before="280"/>
      </w:pPr>
      <w:r>
        <w:rPr>
          <w:b/>
          <w:bCs/>
          <w:color w:val="1F2A44"/>
          <w:sz w:val="26"/>
          <w:szCs w:val="26"/>
        </w:rPr>
        <w:t xml:space="preserve">7.3 Kosten und Nutzen auf einen Blick</w:t>
      </w:r>
    </w:p>
    <w:p>
      <w:pPr>
        <w:spacing w:after="120" w:line="300"/>
      </w:pPr>
      <w:r>
        <w:rPr>
          <w:b/>
          <w:bCs/>
        </w:rPr>
        <w:t xml:space="preserve">Einmaliger Aufwand: </w:t>
      </w:r>
      <w:r>
        <w:t xml:space="preserve">Etappe 1+2 grob 8–10 Arbeitstage (mit KI-Assistenz deutlich weniger als klassische Entwicklung). Etappe 3 flexibel, wenn überhaupt nötig.</w:t>
      </w:r>
    </w:p>
    <w:p>
      <w:pPr>
        <w:spacing w:after="120" w:line="300"/>
      </w:pPr>
      <w:r>
        <w:rPr>
          <w:b/>
          <w:bCs/>
        </w:rPr>
        <w:t xml:space="preserve">Laufende Kosten: </w:t>
      </w:r>
      <w:r>
        <w:t xml:space="preserve">Infomaniak-Hosting ca. CHF 5–10/Monat statt Bexio ab CHF 39/Monat → Einsparung rund CHF 350–400 pro Jahr. Nach spätestens 18 Monaten amortisiert sich der Aufbau.</w:t>
      </w:r>
    </w:p>
    <w:p>
      <w:pPr>
        <w:spacing w:after="120" w:line="300"/>
      </w:pPr>
      <w:r>
        <w:rPr>
          <w:b/>
          <w:bCs/>
        </w:rPr>
        <w:t xml:space="preserve">Weiche Nutzen: </w:t>
      </w:r>
      <w:r>
        <w:t xml:space="preserve">Volle Datenhoheit, keine Abhängigkeit von Bexio-Preiserhöhungen, Oberfläche genau auf Yvonnes Arbeitsweise zugeschnitten, Option für KI-Assistenten direkt eingebaut.</w:t>
      </w:r>
    </w:p>
    <w:p>
      <w:pPr>
        <w:pStyle w:val="Heading2"/>
        <w:spacing w:after="140" w:before="280"/>
      </w:pPr>
      <w:r>
        <w:rPr>
          <w:b/>
          <w:bCs/>
          <w:color w:val="1F2A44"/>
          <w:sz w:val="26"/>
          <w:szCs w:val="26"/>
        </w:rPr>
        <w:t xml:space="preserve">7.4 Fazit in einem Satz</w:t>
      </w:r>
    </w:p>
    <w:p>
      <w:pPr>
        <w:spacing w:after="120" w:line="300"/>
      </w:pPr>
      <w:r>
        <w:t xml:space="preserve">Der Prototyp ist nicht das Ziel, aber der richtige Startpunkt — zwei Etappen gezielter Arbeit und Yvonne hat eine schlanke, günstige, revDSG-konforme Buchhaltung, die Bexio sauber ablöst.</w:t>
      </w:r>
    </w:p>
    <w:p>
      <w:pPr>
        <w:pStyle w:val="Heading1"/>
        <w:spacing w:after="180" w:before="360"/>
      </w:pPr>
      <w:r>
        <w:rPr>
          <w:b/>
          <w:bCs/>
          <w:color w:val="1F2A44"/>
          <w:sz w:val="32"/>
          <w:szCs w:val="32"/>
        </w:rPr>
        <w:t xml:space="preserve">Anhang A — Wichtige Fundstellen im Code</w:t>
      </w:r>
    </w:p>
    <w:p>
      <w:pPr>
        <w:pStyle w:val="ListParagraph"/>
        <w:numPr>
          <w:ilvl w:val="0"/>
          <w:numId w:val="2"/>
        </w:numPr>
        <w:spacing w:after="60" w:line="280"/>
      </w:pPr>
      <w:r>
        <w:rPr>
          <w:sz w:val="22"/>
          <w:szCs w:val="22"/>
        </w:rPr>
        <w:t xml:space="preserve">server/routes.ts — 26 API-Routen, alle öffentlich, keine Auth-Middleware.</w:t>
      </w:r>
    </w:p>
    <w:p>
      <w:pPr>
        <w:pStyle w:val="ListParagraph"/>
        <w:numPr>
          <w:ilvl w:val="0"/>
          <w:numId w:val="2"/>
        </w:numPr>
        <w:spacing w:after="60" w:line="280"/>
      </w:pPr>
      <w:r>
        <w:rPr>
          <w:sz w:val="22"/>
          <w:szCs w:val="22"/>
        </w:rPr>
        <w:t xml:space="preserve">server/storage.ts — MemStorage-Klasse mit allen Entitäten als JS-Map.</w:t>
      </w:r>
    </w:p>
    <w:p>
      <w:pPr>
        <w:pStyle w:val="ListParagraph"/>
        <w:numPr>
          <w:ilvl w:val="0"/>
          <w:numId w:val="2"/>
        </w:numPr>
        <w:spacing w:after="60" w:line="280"/>
      </w:pPr>
      <w:r>
        <w:rPr>
          <w:sz w:val="22"/>
          <w:szCs w:val="22"/>
        </w:rPr>
        <w:t xml:space="preserve">server/index.ts Zeile 47–57 — JSON-Response-Logger (sensible Daten in Konsole).</w:t>
      </w:r>
    </w:p>
    <w:p>
      <w:pPr>
        <w:pStyle w:val="ListParagraph"/>
        <w:numPr>
          <w:ilvl w:val="0"/>
          <w:numId w:val="2"/>
        </w:numPr>
        <w:spacing w:after="60" w:line="280"/>
      </w:pPr>
      <w:r>
        <w:rPr>
          <w:sz w:val="22"/>
          <w:szCs w:val="22"/>
        </w:rPr>
        <w:t xml:space="preserve">shared/schema.ts — Drizzle-Schema; Beträge als text, IDs als varchar, keine Indexe/FKs.</w:t>
      </w:r>
    </w:p>
    <w:p>
      <w:pPr>
        <w:pStyle w:val="ListParagraph"/>
        <w:numPr>
          <w:ilvl w:val="0"/>
          <w:numId w:val="2"/>
        </w:numPr>
        <w:spacing w:after="60" w:line="280"/>
      </w:pPr>
      <w:r>
        <w:rPr>
          <w:sz w:val="22"/>
          <w:szCs w:val="22"/>
        </w:rPr>
        <w:t xml:space="preserve">client/src/pages/invoice-detail.tsx Zeile 187–212 — Print via window.open + innerHTML.</w:t>
      </w:r>
    </w:p>
    <w:p>
      <w:pPr>
        <w:pStyle w:val="ListParagraph"/>
        <w:numPr>
          <w:ilvl w:val="0"/>
          <w:numId w:val="2"/>
        </w:numPr>
        <w:spacing w:after="60" w:line="280"/>
      </w:pPr>
      <w:r>
        <w:rPr>
          <w:sz w:val="22"/>
          <w:szCs w:val="22"/>
        </w:rPr>
        <w:t xml:space="preserve">client/src/pages/settings.tsx Zeile 50–65 — JSON-Export ohne Verschlüsselung.</w:t>
      </w:r>
    </w:p>
    <w:p>
      <w:pPr>
        <w:pStyle w:val="ListParagraph"/>
        <w:numPr>
          <w:ilvl w:val="0"/>
          <w:numId w:val="2"/>
        </w:numPr>
        <w:spacing w:after="60" w:line="280"/>
      </w:pPr>
      <w:r>
        <w:rPr>
          <w:sz w:val="22"/>
          <w:szCs w:val="22"/>
        </w:rPr>
        <w:t xml:space="preserve">package.json — passport, express-session, connect-pg-simple vorhanden, aber ungenutzt.</w:t>
      </w:r>
    </w:p>
    <w:p>
      <w:pPr>
        <w:pStyle w:val="ListParagraph"/>
        <w:numPr>
          <w:ilvl w:val="0"/>
          <w:numId w:val="2"/>
        </w:numPr>
        <w:spacing w:after="60" w:line="280"/>
      </w:pPr>
      <w:r>
        <w:rPr>
          <w:sz w:val="22"/>
          <w:szCs w:val="22"/>
        </w:rPr>
        <w:t xml:space="preserve">drizzle.config.ts — verlangt DATABASE_URL, wird aktuell aber nirgends verbunden.</w:t>
      </w:r>
    </w:p>
    <w:p>
      <w:pPr>
        <w:pStyle w:val="ListParagraph"/>
        <w:numPr>
          <w:ilvl w:val="0"/>
          <w:numId w:val="2"/>
        </w:numPr>
        <w:spacing w:after="60" w:line="280"/>
      </w:pPr>
      <w:r>
        <w:rPr>
          <w:sz w:val="22"/>
          <w:szCs w:val="22"/>
        </w:rPr>
        <w:t xml:space="preserve">client/index.html — Meta-Tag „Created with Perplexity Computer“.</w:t>
      </w:r>
    </w:p>
    <w:p>
      <w:pPr>
        <w:pStyle w:val="ListParagraph"/>
        <w:numPr>
          <w:ilvl w:val="0"/>
          <w:numId w:val="2"/>
        </w:numPr>
        <w:spacing w:after="60" w:line="280"/>
      </w:pPr>
      <w:r>
        <w:rPr>
          <w:sz w:val="22"/>
          <w:szCs w:val="22"/>
        </w:rPr>
        <w:t xml:space="preserve">REF_BuchungsApp_Anleitung.pdf (01_Briefing) — bestätigt MemStorage, fehlendes Login, Hinweis auf 10-jährige OR-Aufbewahrungspflicht.</w:t>
      </w:r>
    </w:p>
    <w:p>
      <w:pPr>
        <w:spacing w:before="200"/>
      </w:pPr>
      <w:r>
        <w:rPr>
          <w:b/>
          <w:bCs/>
          <w:sz w:val="22"/>
          <w:szCs w:val="22"/>
        </w:rPr>
        <w:t xml:space="preserve">Projektablage: </w:t>
      </w:r>
    </w:p>
    <w:p>
      <w:pPr>
        <w:pStyle w:val="ListParagraph"/>
        <w:numPr>
          <w:ilvl w:val="0"/>
          <w:numId w:val="2"/>
        </w:numPr>
        <w:spacing w:after="60" w:line="280"/>
      </w:pPr>
      <w:r>
        <w:rPr>
          <w:sz w:val="22"/>
          <w:szCs w:val="22"/>
        </w:rPr>
        <w:t xml:space="preserve">Source-Code: 07_Projekte/PRJ_Yvonne_Buchhaltung-App/02_Arbeit/Source-Code/</w:t>
      </w:r>
    </w:p>
    <w:p>
      <w:pPr>
        <w:pStyle w:val="ListParagraph"/>
        <w:numPr>
          <w:ilvl w:val="0"/>
          <w:numId w:val="2"/>
        </w:numPr>
        <w:spacing w:after="60" w:line="280"/>
      </w:pPr>
      <w:r>
        <w:rPr>
          <w:sz w:val="22"/>
          <w:szCs w:val="22"/>
        </w:rPr>
        <w:t xml:space="preserve">Briefing / Anleitung: 07_Projekte/PRJ_Yvonne_Buchhaltung-App/01_Briefing/REF_BuchungsApp_Anleitung.pdf</w:t>
      </w:r>
    </w:p>
    <w:p>
      <w:pPr>
        <w:pStyle w:val="ListParagraph"/>
        <w:numPr>
          <w:ilvl w:val="0"/>
          <w:numId w:val="2"/>
        </w:numPr>
        <w:spacing w:after="60" w:line="280"/>
      </w:pPr>
      <w:r>
        <w:rPr>
          <w:sz w:val="22"/>
          <w:szCs w:val="22"/>
        </w:rPr>
        <w:t xml:space="preserve">Dieser Bericht: 07_Projekte/PRJ_Yvonne_Buchhaltung-App/02_Arbeit/Planung/DOK_2026-04-17_Yvonne_Buchhaltung-App_Pruefung_v01.docx</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center" w:pos="4680"/>
        <w:tab w:val="right" w:pos="9360"/>
      </w:tabs>
    </w:pPr>
    <w:r>
      <w:rPr>
        <w:color w:val="888888"/>
        <w:sz w:val="18"/>
        <w:szCs w:val="18"/>
      </w:rPr>
      <w:t xml:space="preserve">17. April 2026</w:t>
    </w:r>
    <w:r>
      <w:rPr>
        <w:sz w:val="18"/>
        <w:szCs w:val="18"/>
      </w:rPr>
      <w:t xml:space="preserve">	</w:t>
    </w:r>
    <w:r>
      <w:rPr>
        <w:color w:val="888888"/>
        <w:sz w:val="18"/>
        <w:szCs w:val="18"/>
      </w:rPr>
      <w:t xml:space="preserve">Seite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PRJ_Yvonne_Buchhaltung-App — Prüfbericht &amp;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4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2A44"/>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F2A44"/>
      <w:sz w:val="26"/>
      <w:szCs w:val="26"/>
    </w:rPr>
  </w:style>
  <w:style w:type="paragraph" w:styleId="Heading3">
    <w:name w:val="Heading 3"/>
    <w:basedOn w:val="Normal"/>
    <w:next w:val="Normal"/>
    <w:qFormat/>
    <w:pPr>
      <w:spacing w:after="100" w:before="22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Prüfbericht BuchungsApp — Yvonne Villiger</dc:title>
  <dc:creator>Tom Hirt</dc:creator>
  <cp:lastModifiedBy>Un-named</cp:lastModifiedBy>
  <cp:revision>1</cp:revision>
  <dcterms:created xsi:type="dcterms:W3CDTF">2026-04-17T12:18:26.235Z</dcterms:created>
  <dcterms:modified xsi:type="dcterms:W3CDTF">2026-04-17T12:18:26.235Z</dcterms:modified>
</cp:coreProperties>
</file>

<file path=docProps/custom.xml><?xml version="1.0" encoding="utf-8"?>
<Properties xmlns="http://schemas.openxmlformats.org/officeDocument/2006/custom-properties" xmlns:vt="http://schemas.openxmlformats.org/officeDocument/2006/docPropsVTypes"/>
</file>