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683" w:rsidRDefault="005358E7" w:rsidP="00FA0683">
      <w:pPr>
        <w:jc w:val="center"/>
        <w:rPr>
          <w:rFonts w:ascii="Times New Roman" w:hAnsi="Times New Roman"/>
          <w:color w:val="000000"/>
          <w:kern w:val="0"/>
          <w:sz w:val="32"/>
          <w:szCs w:val="32"/>
        </w:rPr>
      </w:pPr>
      <w:bookmarkStart w:id="0" w:name="_GoBack"/>
      <w:bookmarkEnd w:id="0"/>
      <w:r w:rsidRPr="005358E7">
        <w:rPr>
          <w:rFonts w:ascii="Times New Roman" w:hAnsi="Times New Roman" w:hint="eastAsia"/>
          <w:color w:val="000000"/>
          <w:kern w:val="0"/>
          <w:sz w:val="32"/>
          <w:szCs w:val="32"/>
        </w:rPr>
        <w:t>哈尔滨工业大学第二届青年才俊</w:t>
      </w:r>
      <w:r w:rsidRPr="005358E7">
        <w:rPr>
          <w:rFonts w:ascii="Times New Roman" w:hAnsi="Times New Roman" w:hint="eastAsia"/>
          <w:color w:val="000000"/>
          <w:kern w:val="0"/>
          <w:sz w:val="32"/>
          <w:szCs w:val="32"/>
        </w:rPr>
        <w:t>_</w:t>
      </w:r>
      <w:r w:rsidRPr="005358E7">
        <w:rPr>
          <w:rFonts w:ascii="Times New Roman" w:hAnsi="Times New Roman" w:hint="eastAsia"/>
          <w:color w:val="000000"/>
          <w:kern w:val="0"/>
          <w:sz w:val="32"/>
          <w:szCs w:val="32"/>
        </w:rPr>
        <w:t>聚首冰城”港澳青年学子冬令营项目</w:t>
      </w:r>
      <w:r>
        <w:rPr>
          <w:rFonts w:ascii="Times New Roman" w:hAnsi="Times New Roman" w:hint="eastAsia"/>
          <w:color w:val="000000"/>
          <w:kern w:val="0"/>
          <w:sz w:val="32"/>
          <w:szCs w:val="32"/>
        </w:rPr>
        <w:t>需求</w:t>
      </w:r>
    </w:p>
    <w:p w:rsidR="00FA0683" w:rsidRDefault="00FA0683" w:rsidP="00FA0683">
      <w:pPr>
        <w:rPr>
          <w:rFonts w:ascii="Times New Roman" w:hAnsi="Times New Roman"/>
          <w:color w:val="000000"/>
          <w:kern w:val="0"/>
          <w:sz w:val="24"/>
          <w:szCs w:val="24"/>
        </w:rPr>
      </w:pP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第一天 全天接机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第二天 哈尔滨工业大学开营式、讲座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第三天 哈尔滨城市参访(哈尔滨工业大学博物馆、哈尔滨规划馆、中央大街、索菲亚、防洪纪念塔)</w:t>
      </w:r>
    </w:p>
    <w:p w:rsidR="005358E7" w:rsidRPr="006F6E9E" w:rsidRDefault="005358E7" w:rsidP="005358E7">
      <w:pPr>
        <w:pStyle w:val="2"/>
        <w:spacing w:before="156"/>
        <w:rPr>
          <w:rStyle w:val="fontstyle11"/>
          <w:rFonts w:hint="default"/>
          <w:b/>
          <w:bCs/>
        </w:rPr>
      </w:pPr>
      <w:r w:rsidRPr="006F6E9E">
        <w:rPr>
          <w:rStyle w:val="fontstyle11"/>
          <w:rFonts w:hint="default"/>
          <w:b/>
          <w:bCs/>
        </w:rPr>
        <w:t>第四天 哈尔滨城市参访（侵华日军第七三一部队罪证陈列馆、东北烈士纪念馆、道外巴洛克街区</w:t>
      </w:r>
      <w:r w:rsidRPr="00844BE0">
        <w:rPr>
          <w:rStyle w:val="fontstyle11"/>
          <w:rFonts w:hint="default"/>
          <w:b/>
          <w:bCs/>
        </w:rPr>
        <w:t>、若时间允许</w:t>
      </w:r>
      <w:r>
        <w:rPr>
          <w:rStyle w:val="fontstyle11"/>
          <w:rFonts w:hint="default"/>
          <w:b/>
          <w:bCs/>
        </w:rPr>
        <w:t>临时</w:t>
      </w:r>
      <w:r w:rsidRPr="00844BE0">
        <w:rPr>
          <w:rStyle w:val="fontstyle11"/>
          <w:rFonts w:hint="default"/>
          <w:b/>
          <w:bCs/>
        </w:rPr>
        <w:t>增加行程外参观地点</w:t>
      </w:r>
      <w:r w:rsidRPr="006F6E9E">
        <w:rPr>
          <w:rStyle w:val="fontstyle11"/>
          <w:rFonts w:hint="default"/>
          <w:b/>
          <w:bCs/>
        </w:rPr>
        <w:t>）</w:t>
      </w:r>
    </w:p>
    <w:p w:rsidR="005358E7" w:rsidRDefault="005358E7" w:rsidP="005358E7">
      <w:pPr>
        <w:pStyle w:val="2"/>
        <w:spacing w:before="156"/>
        <w:rPr>
          <w:rStyle w:val="fontstyle11"/>
          <w:rFonts w:hint="default"/>
        </w:rPr>
      </w:pPr>
      <w:r w:rsidRPr="006F6E9E">
        <w:rPr>
          <w:rStyle w:val="fontstyle11"/>
          <w:rFonts w:hint="default"/>
          <w:b/>
          <w:bCs/>
        </w:rPr>
        <w:t>第五天 大庆城市参访（石油科技馆、铁人王进喜纪念馆、大庆油田1205、1202钻井队</w:t>
      </w:r>
      <w:r>
        <w:rPr>
          <w:rStyle w:val="fontstyle11"/>
          <w:rFonts w:hint="default"/>
        </w:rPr>
        <w:t>）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第六天 赴伊春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第七天 体验冬季伊春景色（</w:t>
      </w:r>
      <w:r w:rsidRPr="006F6E9E">
        <w:rPr>
          <w:rStyle w:val="fontstyle11"/>
          <w:rFonts w:hint="default"/>
        </w:rPr>
        <w:t>汤旺河石林、五营国家森林公园</w:t>
      </w:r>
      <w:r>
        <w:rPr>
          <w:rStyle w:val="fontstyle11"/>
          <w:rFonts w:hint="default"/>
        </w:rPr>
        <w:t>、</w:t>
      </w:r>
      <w:r w:rsidRPr="00CA76BF">
        <w:rPr>
          <w:rStyle w:val="fontstyle11"/>
          <w:rFonts w:hint="default"/>
        </w:rPr>
        <w:t>若时间允许临时增加行程外参观地点</w:t>
      </w:r>
      <w:r>
        <w:rPr>
          <w:rStyle w:val="fontstyle11"/>
          <w:rFonts w:hint="default"/>
        </w:rPr>
        <w:t>）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第八天 体验冬季伊春景色（滑雪体验、</w:t>
      </w:r>
      <w:r w:rsidRPr="00CA76BF">
        <w:rPr>
          <w:rStyle w:val="fontstyle11"/>
          <w:rFonts w:hint="default"/>
        </w:rPr>
        <w:t>若时间允许临时增加行程外参观地点</w:t>
      </w:r>
      <w:r>
        <w:rPr>
          <w:rStyle w:val="fontstyle11"/>
          <w:rFonts w:hint="default"/>
        </w:rPr>
        <w:t>）、返回哈尔滨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第九天 哈尔滨城市参访（</w:t>
      </w:r>
      <w:r w:rsidRPr="006F6E9E">
        <w:rPr>
          <w:rStyle w:val="fontstyle11"/>
          <w:rFonts w:hint="default"/>
        </w:rPr>
        <w:t>太阳岛雪博会、哈尔滨冰雪大世界</w:t>
      </w:r>
      <w:r>
        <w:rPr>
          <w:rStyle w:val="fontstyle11"/>
          <w:rFonts w:hint="default"/>
        </w:rPr>
        <w:t>）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第十天 送机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以上日程为暂定日程，最终人数确定后，将会略有调整。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>5、要求：全程车辆要求55座1年车龄大巴。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  <w:t>餐标每人每餐70元，每桌9-10人，不含司机、导游。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  <w:t>投标单位联络大庆钻井队参访，全程无购物。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  <w:t>伊春住宿标准为三星级及以上宾馆，住宿房型为双人间及大床房、</w:t>
      </w:r>
      <w:r>
        <w:rPr>
          <w:rStyle w:val="fontstyle11"/>
          <w:rFonts w:hint="default"/>
        </w:rPr>
        <w:lastRenderedPageBreak/>
        <w:t>房间内独立卫生间、卫浴等，含早餐。</w:t>
      </w:r>
    </w:p>
    <w:p w:rsidR="005358E7" w:rsidRDefault="005358E7" w:rsidP="005358E7">
      <w:pPr>
        <w:rPr>
          <w:rStyle w:val="fontstyle11"/>
          <w:rFonts w:hint="default"/>
        </w:rPr>
      </w:pP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</w:r>
      <w:r>
        <w:rPr>
          <w:rStyle w:val="fontstyle11"/>
          <w:rFonts w:hint="default"/>
        </w:rPr>
        <w:tab/>
        <w:t>哈尔滨至伊春往返交通方案可采用多种形式，要求所提供方案安全，合理。</w:t>
      </w:r>
    </w:p>
    <w:p w:rsidR="001A3D77" w:rsidRPr="002127F8" w:rsidRDefault="001A3D77" w:rsidP="002127F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2127F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2E3" w:rsidRPr="003133E6" w:rsidRDefault="00A102E3" w:rsidP="001A3D77">
      <w:pPr>
        <w:rPr>
          <w:sz w:val="20"/>
        </w:rPr>
      </w:pPr>
      <w:r>
        <w:separator/>
      </w:r>
    </w:p>
  </w:endnote>
  <w:endnote w:type="continuationSeparator" w:id="0">
    <w:p w:rsidR="00A102E3" w:rsidRPr="003133E6" w:rsidRDefault="00A102E3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2E3" w:rsidRPr="003133E6" w:rsidRDefault="00A102E3" w:rsidP="001A3D77">
      <w:pPr>
        <w:rPr>
          <w:sz w:val="20"/>
        </w:rPr>
      </w:pPr>
      <w:r>
        <w:separator/>
      </w:r>
    </w:p>
  </w:footnote>
  <w:footnote w:type="continuationSeparator" w:id="0">
    <w:p w:rsidR="00A102E3" w:rsidRPr="003133E6" w:rsidRDefault="00A102E3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81519BE"/>
    <w:multiLevelType w:val="hybridMultilevel"/>
    <w:tmpl w:val="0D40BD5C"/>
    <w:lvl w:ilvl="0" w:tplc="B4524F2E">
      <w:start w:val="1"/>
      <w:numFmt w:val="japaneseCounting"/>
      <w:lvlText w:val="第%1天"/>
      <w:lvlJc w:val="left"/>
      <w:pPr>
        <w:ind w:left="1205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5" w:hanging="420"/>
      </w:pPr>
    </w:lvl>
    <w:lvl w:ilvl="2" w:tplc="0409001B" w:tentative="1">
      <w:start w:val="1"/>
      <w:numFmt w:val="lowerRoman"/>
      <w:lvlText w:val="%3."/>
      <w:lvlJc w:val="right"/>
      <w:pPr>
        <w:ind w:left="1505" w:hanging="420"/>
      </w:pPr>
    </w:lvl>
    <w:lvl w:ilvl="3" w:tplc="0409000F" w:tentative="1">
      <w:start w:val="1"/>
      <w:numFmt w:val="decimal"/>
      <w:lvlText w:val="%4."/>
      <w:lvlJc w:val="left"/>
      <w:pPr>
        <w:ind w:left="1925" w:hanging="420"/>
      </w:pPr>
    </w:lvl>
    <w:lvl w:ilvl="4" w:tplc="04090019" w:tentative="1">
      <w:start w:val="1"/>
      <w:numFmt w:val="lowerLetter"/>
      <w:lvlText w:val="%5)"/>
      <w:lvlJc w:val="left"/>
      <w:pPr>
        <w:ind w:left="2345" w:hanging="420"/>
      </w:pPr>
    </w:lvl>
    <w:lvl w:ilvl="5" w:tplc="0409001B" w:tentative="1">
      <w:start w:val="1"/>
      <w:numFmt w:val="lowerRoman"/>
      <w:lvlText w:val="%6."/>
      <w:lvlJc w:val="right"/>
      <w:pPr>
        <w:ind w:left="2765" w:hanging="420"/>
      </w:pPr>
    </w:lvl>
    <w:lvl w:ilvl="6" w:tplc="0409000F" w:tentative="1">
      <w:start w:val="1"/>
      <w:numFmt w:val="decimal"/>
      <w:lvlText w:val="%7."/>
      <w:lvlJc w:val="left"/>
      <w:pPr>
        <w:ind w:left="3185" w:hanging="420"/>
      </w:pPr>
    </w:lvl>
    <w:lvl w:ilvl="7" w:tplc="04090019" w:tentative="1">
      <w:start w:val="1"/>
      <w:numFmt w:val="lowerLetter"/>
      <w:lvlText w:val="%8)"/>
      <w:lvlJc w:val="left"/>
      <w:pPr>
        <w:ind w:left="3605" w:hanging="420"/>
      </w:pPr>
    </w:lvl>
    <w:lvl w:ilvl="8" w:tplc="0409001B" w:tentative="1">
      <w:start w:val="1"/>
      <w:numFmt w:val="lowerRoman"/>
      <w:lvlText w:val="%9."/>
      <w:lvlJc w:val="right"/>
      <w:pPr>
        <w:ind w:left="4025" w:hanging="420"/>
      </w:pPr>
    </w:lvl>
  </w:abstractNum>
  <w:abstractNum w:abstractNumId="2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24C8C"/>
    <w:rsid w:val="0053047C"/>
    <w:rsid w:val="005358E7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57CAA"/>
    <w:rsid w:val="00962C25"/>
    <w:rsid w:val="0098126E"/>
    <w:rsid w:val="00997B93"/>
    <w:rsid w:val="009A1CC3"/>
    <w:rsid w:val="009A57BF"/>
    <w:rsid w:val="009C7A1D"/>
    <w:rsid w:val="009D0EC2"/>
    <w:rsid w:val="009E69D9"/>
    <w:rsid w:val="009F37B3"/>
    <w:rsid w:val="009F3DF5"/>
    <w:rsid w:val="009F61C6"/>
    <w:rsid w:val="00A102E3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6959"/>
    <w:rsid w:val="00D47B3C"/>
    <w:rsid w:val="00D522CC"/>
    <w:rsid w:val="00D52640"/>
    <w:rsid w:val="00D61CA2"/>
    <w:rsid w:val="00D65AB9"/>
    <w:rsid w:val="00D670AC"/>
    <w:rsid w:val="00D67848"/>
    <w:rsid w:val="00D72893"/>
    <w:rsid w:val="00D73D1D"/>
    <w:rsid w:val="00D74E9C"/>
    <w:rsid w:val="00D8227A"/>
    <w:rsid w:val="00D927B2"/>
    <w:rsid w:val="00DB5597"/>
    <w:rsid w:val="00DB78B9"/>
    <w:rsid w:val="00DC2140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4751E"/>
    <w:rsid w:val="00F55888"/>
    <w:rsid w:val="00F613B3"/>
    <w:rsid w:val="00F63581"/>
    <w:rsid w:val="00F712BB"/>
    <w:rsid w:val="00F8400F"/>
    <w:rsid w:val="00F9432C"/>
    <w:rsid w:val="00FA03E0"/>
    <w:rsid w:val="00FA0683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8414D84-61DE-4F50-8485-C8024CCE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1"/>
    <w:rsid w:val="005358E7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>文件编号：S1C-i5-0011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