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发票号码：RI-TCEHY-2026-0007</w:t>
      </w:r>
    </w:p>
    <w:p>
      <w:pPr>
        <w:spacing w:after="60"/>
      </w:pPr>
      <w:r>
        <w:t>开票日期：2026年4月15日</w:t>
      </w:r>
    </w:p>
    <w:p>
      <w:pPr>
        <w:spacing w:after="60"/>
      </w:pPr>
      <w:r>
        <w:t>相关合同编号：SC-TCEHY-2026-0007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统一社会信用代码：914403008144060509</w:t>
      </w:r>
    </w:p>
    <w:p>
      <w:pPr>
        <w:spacing w:after="60"/>
      </w:pPr>
      <w:r>
        <w:t>地址：广东省深圳市光明新区塘明大道14-1号</w:t>
      </w:r>
    </w:p>
    <w:p>
      <w:pPr>
        <w:spacing w:after="60"/>
      </w:pPr>
      <w:r>
        <w:t>电话：18533894965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银行账号：5998988962867858752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统一社会信用代码：914403001180368394</w:t>
      </w:r>
    </w:p>
    <w:p>
      <w:pPr>
        <w:spacing w:after="60"/>
      </w:pPr>
      <w:r>
        <w:t>地址：广东省深圳市南山区科技园路4号</w:t>
      </w:r>
    </w:p>
    <w:p>
      <w:pPr>
        <w:spacing w:after="60"/>
      </w:pPr>
      <w:r>
        <w:t>电话：18296207890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银行账号：2751232587165205687</w:t>
      </w:r>
    </w:p>
    <w:p>
      <w:pPr>
        <w:spacing w:after="60"/>
      </w:pPr>
      <w:r>
        <w:t>货物或应税劳务、服务名称：游戏引擎</w:t>
      </w:r>
    </w:p>
    <w:p>
      <w:pPr>
        <w:spacing w:after="60"/>
      </w:pPr>
      <w:r>
        <w:t>规格型号：8375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单价：76382.47</w:t>
      </w:r>
    </w:p>
    <w:p>
      <w:pPr>
        <w:spacing w:after="60"/>
      </w:pPr>
      <w:r>
        <w:t>金额：3666358.79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税额：476626.64</w:t>
      </w:r>
    </w:p>
    <w:p>
      <w:pPr>
        <w:spacing w:after="60"/>
      </w:pPr>
      <w:r>
        <w:t>价税合计（大写）：肆佰壹拾肆贰仟玖佰捌拾伍元肆角叁分</w:t>
      </w:r>
    </w:p>
    <w:p>
      <w:pPr>
        <w:spacing w:after="60"/>
      </w:pPr>
      <w:r>
        <w:t>价税合计（小写）：￥4142985.43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