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1" w:lineRule="auto"/>
        <w:rPr>
          <w:rFonts w:ascii="宋体" w:hAnsi="宋体"/>
          <w:b/>
          <w:color w:val="000000"/>
          <w:sz w:val="28"/>
          <w:szCs w:val="28"/>
        </w:rPr>
      </w:pPr>
      <w:r>
        <w:rPr>
          <w:rFonts w:ascii="宋体" w:hAnsi="宋体"/>
          <w:b/>
          <w:color w:val="000000"/>
          <w:sz w:val="28"/>
          <w:szCs w:val="28"/>
        </w:rPr>
        <w:t>附件</w:t>
      </w:r>
      <w:r>
        <w:rPr>
          <w:rFonts w:hint="eastAsia" w:ascii="宋体" w:hAnsi="宋体"/>
          <w:b/>
          <w:color w:val="000000"/>
          <w:sz w:val="28"/>
          <w:szCs w:val="28"/>
        </w:rPr>
        <w:t>6</w:t>
      </w:r>
      <w:r>
        <w:rPr>
          <w:rFonts w:ascii="宋体" w:hAnsi="宋体"/>
          <w:b/>
          <w:color w:val="000000"/>
          <w:sz w:val="28"/>
          <w:szCs w:val="28"/>
        </w:rPr>
        <w:t>：</w:t>
      </w:r>
    </w:p>
    <w:p>
      <w:pPr>
        <w:spacing w:line="341" w:lineRule="auto"/>
        <w:ind w:firstLine="1620" w:firstLineChars="450"/>
        <w:rPr>
          <w:rFonts w:ascii="黑体" w:hAnsi="黑体" w:eastAsia="黑体"/>
          <w:color w:val="000000"/>
          <w:sz w:val="36"/>
          <w:szCs w:val="36"/>
        </w:rPr>
      </w:pPr>
      <w:r>
        <w:rPr>
          <w:rFonts w:hint="eastAsia" w:ascii="黑体" w:hAnsi="黑体" w:eastAsia="黑体"/>
          <w:color w:val="000000"/>
          <w:sz w:val="36"/>
          <w:szCs w:val="36"/>
        </w:rPr>
        <w:t>饮食原材料的具体需求及技术参数</w:t>
      </w:r>
    </w:p>
    <w:p>
      <w:pPr>
        <w:numPr>
          <w:ilvl w:val="0"/>
          <w:numId w:val="1"/>
        </w:numPr>
        <w:spacing w:line="341" w:lineRule="auto"/>
        <w:rPr>
          <w:b/>
          <w:color w:val="000000"/>
          <w:sz w:val="24"/>
        </w:rPr>
      </w:pPr>
      <w:r>
        <w:rPr>
          <w:b/>
          <w:color w:val="000000"/>
          <w:sz w:val="24"/>
        </w:rPr>
        <w:t>采购数量</w:t>
      </w:r>
      <w:r>
        <w:rPr>
          <w:rFonts w:hint="eastAsia"/>
          <w:b/>
          <w:color w:val="000000"/>
          <w:sz w:val="24"/>
        </w:rPr>
        <w:t>及预算</w:t>
      </w:r>
    </w:p>
    <w:p>
      <w:pPr>
        <w:spacing w:line="360" w:lineRule="auto"/>
        <w:ind w:firstLine="480" w:firstLineChars="200"/>
        <w:rPr>
          <w:rFonts w:hint="eastAsia" w:ascii="宋体" w:hAnsi="宋体"/>
          <w:sz w:val="24"/>
          <w:highlight w:val="none"/>
          <w:lang w:val="en-US" w:eastAsia="zh-CN"/>
        </w:rPr>
      </w:pPr>
      <w:r>
        <w:rPr>
          <w:rFonts w:hint="eastAsia" w:ascii="宋体" w:hAnsi="宋体"/>
          <w:sz w:val="24"/>
          <w:highlight w:val="none"/>
          <w:lang w:val="en-US" w:eastAsia="zh-CN"/>
        </w:rPr>
        <w:t>第六标段：</w:t>
      </w:r>
    </w:p>
    <w:p>
      <w:pPr>
        <w:spacing w:line="360" w:lineRule="auto"/>
        <w:ind w:firstLine="480" w:firstLineChars="200"/>
        <w:rPr>
          <w:rFonts w:hint="eastAsia" w:ascii="宋体" w:hAnsi="宋体"/>
          <w:sz w:val="24"/>
          <w:highlight w:val="none"/>
        </w:rPr>
      </w:pPr>
      <w:r>
        <w:rPr>
          <w:rFonts w:hint="eastAsia" w:ascii="宋体" w:hAnsi="宋体"/>
          <w:sz w:val="24"/>
          <w:highlight w:val="none"/>
          <w:lang w:eastAsia="zh-CN"/>
        </w:rPr>
        <w:t>豆制品</w:t>
      </w:r>
      <w:r>
        <w:rPr>
          <w:rFonts w:hint="eastAsia" w:ascii="宋体" w:hAnsi="宋体"/>
          <w:sz w:val="24"/>
          <w:highlight w:val="none"/>
        </w:rPr>
        <w:t>：约</w:t>
      </w:r>
      <w:r>
        <w:rPr>
          <w:rFonts w:hint="eastAsia" w:ascii="宋体" w:hAnsi="宋体"/>
          <w:sz w:val="24"/>
          <w:highlight w:val="none"/>
          <w:lang w:val="en-US" w:eastAsia="zh-CN"/>
        </w:rPr>
        <w:t>23</w:t>
      </w:r>
      <w:r>
        <w:rPr>
          <w:rFonts w:hint="eastAsia" w:ascii="宋体" w:hAnsi="宋体"/>
          <w:sz w:val="24"/>
          <w:highlight w:val="none"/>
        </w:rPr>
        <w:t>万公斤/年</w:t>
      </w:r>
    </w:p>
    <w:p/>
    <w:p>
      <w:pPr>
        <w:widowControl/>
        <w:numPr>
          <w:ilvl w:val="0"/>
          <w:numId w:val="1"/>
        </w:numPr>
        <w:adjustRightInd w:val="0"/>
        <w:snapToGrid w:val="0"/>
        <w:spacing w:line="360" w:lineRule="auto"/>
        <w:jc w:val="left"/>
        <w:rPr>
          <w:b/>
          <w:color w:val="000000"/>
          <w:sz w:val="24"/>
        </w:rPr>
      </w:pPr>
      <w:r>
        <w:rPr>
          <w:b/>
          <w:color w:val="000000"/>
          <w:sz w:val="24"/>
        </w:rPr>
        <w:t>品类及技术要求：</w:t>
      </w:r>
    </w:p>
    <w:tbl>
      <w:tblPr>
        <w:tblStyle w:val="6"/>
        <w:tblW w:w="90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3"/>
        <w:gridCol w:w="1357"/>
        <w:gridCol w:w="1560"/>
        <w:gridCol w:w="1431"/>
        <w:gridCol w:w="1586"/>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400" w:lineRule="exact"/>
              <w:jc w:val="center"/>
              <w:rPr>
                <w:rFonts w:hint="eastAsia" w:ascii="宋体" w:hAnsi="Times New Roman" w:cs="Times New Roman"/>
                <w:b/>
                <w:bCs/>
                <w:szCs w:val="21"/>
              </w:rPr>
            </w:pPr>
            <w:r>
              <w:rPr>
                <w:rFonts w:hint="eastAsia" w:ascii="宋体" w:hAnsi="Times New Roman" w:cs="Times New Roman"/>
                <w:b/>
                <w:bCs/>
                <w:szCs w:val="21"/>
              </w:rPr>
              <w:t>序号</w:t>
            </w:r>
          </w:p>
        </w:tc>
        <w:tc>
          <w:tcPr>
            <w:tcW w:w="1357" w:type="dxa"/>
            <w:noWrap w:val="0"/>
            <w:vAlign w:val="center"/>
          </w:tcPr>
          <w:p>
            <w:pPr>
              <w:spacing w:line="400" w:lineRule="exact"/>
              <w:jc w:val="center"/>
              <w:rPr>
                <w:rFonts w:hint="eastAsia" w:ascii="宋体" w:hAnsi="Times New Roman" w:cs="Times New Roman"/>
                <w:b/>
                <w:bCs/>
                <w:szCs w:val="21"/>
              </w:rPr>
            </w:pPr>
            <w:r>
              <w:rPr>
                <w:rFonts w:hint="eastAsia" w:ascii="宋体" w:hAnsi="Times New Roman" w:cs="Times New Roman"/>
                <w:b/>
                <w:bCs/>
                <w:szCs w:val="21"/>
              </w:rPr>
              <w:t>品名</w:t>
            </w:r>
          </w:p>
        </w:tc>
        <w:tc>
          <w:tcPr>
            <w:tcW w:w="1560" w:type="dxa"/>
            <w:noWrap w:val="0"/>
            <w:vAlign w:val="center"/>
          </w:tcPr>
          <w:p>
            <w:pPr>
              <w:spacing w:line="400" w:lineRule="exact"/>
              <w:jc w:val="center"/>
              <w:rPr>
                <w:rFonts w:hint="eastAsia" w:ascii="宋体" w:hAnsi="Times New Roman" w:cs="Times New Roman"/>
                <w:b/>
                <w:bCs/>
                <w:szCs w:val="21"/>
              </w:rPr>
            </w:pPr>
            <w:r>
              <w:rPr>
                <w:rFonts w:hint="eastAsia" w:ascii="宋体" w:hAnsi="Times New Roman" w:cs="Times New Roman"/>
                <w:b/>
                <w:bCs/>
                <w:szCs w:val="21"/>
              </w:rPr>
              <w:t>标准</w:t>
            </w:r>
          </w:p>
        </w:tc>
        <w:tc>
          <w:tcPr>
            <w:tcW w:w="1431" w:type="dxa"/>
            <w:noWrap w:val="0"/>
            <w:vAlign w:val="center"/>
          </w:tcPr>
          <w:p>
            <w:pPr>
              <w:spacing w:line="400" w:lineRule="exact"/>
              <w:jc w:val="center"/>
              <w:rPr>
                <w:rFonts w:hint="eastAsia" w:ascii="宋体" w:hAnsi="Times New Roman" w:cs="Times New Roman"/>
                <w:b/>
                <w:bCs/>
                <w:szCs w:val="21"/>
              </w:rPr>
            </w:pPr>
            <w:r>
              <w:rPr>
                <w:rFonts w:hint="eastAsia" w:ascii="宋体" w:hAnsi="Times New Roman" w:cs="Times New Roman"/>
                <w:b/>
                <w:bCs/>
                <w:szCs w:val="21"/>
              </w:rPr>
              <w:t>参考采购量</w:t>
            </w:r>
          </w:p>
          <w:p>
            <w:pPr>
              <w:spacing w:line="400" w:lineRule="exact"/>
              <w:jc w:val="center"/>
              <w:rPr>
                <w:rFonts w:hint="eastAsia" w:ascii="宋体" w:hAnsi="Times New Roman" w:cs="Times New Roman"/>
                <w:b/>
                <w:bCs/>
                <w:szCs w:val="21"/>
              </w:rPr>
            </w:pPr>
            <w:r>
              <w:rPr>
                <w:rFonts w:hint="eastAsia" w:ascii="宋体" w:hAnsi="Times New Roman" w:cs="Times New Roman"/>
                <w:b/>
                <w:bCs/>
                <w:szCs w:val="21"/>
              </w:rPr>
              <w:t>（余万公斤）</w:t>
            </w:r>
          </w:p>
        </w:tc>
        <w:tc>
          <w:tcPr>
            <w:tcW w:w="1586" w:type="dxa"/>
            <w:noWrap w:val="0"/>
            <w:vAlign w:val="center"/>
          </w:tcPr>
          <w:p>
            <w:pPr>
              <w:spacing w:line="400" w:lineRule="exact"/>
              <w:jc w:val="center"/>
              <w:rPr>
                <w:rFonts w:hint="eastAsia" w:ascii="宋体" w:hAnsi="Times New Roman" w:cs="Times New Roman"/>
                <w:b/>
                <w:bCs/>
                <w:szCs w:val="21"/>
              </w:rPr>
            </w:pPr>
            <w:r>
              <w:rPr>
                <w:rFonts w:hint="eastAsia" w:ascii="宋体" w:hAnsi="Times New Roman" w:cs="Times New Roman"/>
                <w:b/>
                <w:bCs/>
                <w:szCs w:val="21"/>
              </w:rPr>
              <w:t>规格</w:t>
            </w:r>
          </w:p>
        </w:tc>
        <w:tc>
          <w:tcPr>
            <w:tcW w:w="2432" w:type="dxa"/>
            <w:noWrap w:val="0"/>
            <w:vAlign w:val="center"/>
          </w:tcPr>
          <w:p>
            <w:pPr>
              <w:spacing w:line="400" w:lineRule="exact"/>
              <w:jc w:val="center"/>
              <w:rPr>
                <w:rFonts w:hint="eastAsia" w:ascii="宋体" w:hAnsi="Times New Roman" w:cs="Times New Roman"/>
                <w:b/>
                <w:bCs/>
                <w:szCs w:val="21"/>
              </w:rPr>
            </w:pPr>
            <w:r>
              <w:rPr>
                <w:rFonts w:hint="eastAsia" w:ascii="宋体" w:hAnsi="Times New Roman" w:cs="Times New Roman"/>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1</w:t>
            </w:r>
          </w:p>
        </w:tc>
        <w:tc>
          <w:tcPr>
            <w:tcW w:w="1357" w:type="dxa"/>
            <w:noWrap w:val="0"/>
            <w:vAlign w:val="center"/>
          </w:tcPr>
          <w:p>
            <w:pPr>
              <w:spacing w:line="560" w:lineRule="exact"/>
              <w:jc w:val="center"/>
              <w:rPr>
                <w:rFonts w:hint="eastAsia"/>
                <w:sz w:val="18"/>
                <w:szCs w:val="18"/>
              </w:rPr>
            </w:pPr>
            <w:r>
              <w:rPr>
                <w:rFonts w:hint="eastAsia"/>
                <w:sz w:val="18"/>
                <w:szCs w:val="18"/>
              </w:rPr>
              <w:t>千页豆腐</w:t>
            </w:r>
          </w:p>
        </w:tc>
        <w:tc>
          <w:tcPr>
            <w:tcW w:w="1560" w:type="dxa"/>
            <w:noWrap w:val="0"/>
            <w:vAlign w:val="center"/>
          </w:tcPr>
          <w:p>
            <w:pPr>
              <w:spacing w:line="560" w:lineRule="exact"/>
              <w:jc w:val="center"/>
              <w:rPr>
                <w:sz w:val="18"/>
                <w:szCs w:val="18"/>
              </w:rPr>
            </w:pPr>
            <w:r>
              <w:rPr>
                <w:rFonts w:hint="eastAsia"/>
                <w:sz w:val="18"/>
                <w:szCs w:val="18"/>
              </w:rPr>
              <w:t>GB4789-2016</w:t>
            </w:r>
          </w:p>
        </w:tc>
        <w:tc>
          <w:tcPr>
            <w:tcW w:w="1431" w:type="dxa"/>
            <w:noWrap w:val="0"/>
            <w:vAlign w:val="center"/>
          </w:tcPr>
          <w:p>
            <w:pPr>
              <w:spacing w:line="560" w:lineRule="exact"/>
              <w:jc w:val="center"/>
              <w:rPr>
                <w:rFonts w:hint="eastAsia"/>
                <w:szCs w:val="21"/>
              </w:rPr>
            </w:pPr>
            <w:r>
              <w:rPr>
                <w:rFonts w:hint="eastAsia"/>
                <w:szCs w:val="21"/>
              </w:rPr>
              <w:t>5.7</w:t>
            </w:r>
          </w:p>
        </w:tc>
        <w:tc>
          <w:tcPr>
            <w:tcW w:w="1586" w:type="dxa"/>
            <w:noWrap w:val="0"/>
            <w:vAlign w:val="center"/>
          </w:tcPr>
          <w:p>
            <w:pPr>
              <w:spacing w:line="560" w:lineRule="exact"/>
              <w:jc w:val="center"/>
              <w:rPr>
                <w:rFonts w:hint="eastAsia"/>
                <w:sz w:val="18"/>
                <w:szCs w:val="18"/>
              </w:rPr>
            </w:pPr>
            <w:r>
              <w:rPr>
                <w:rFonts w:hint="eastAsia"/>
                <w:sz w:val="18"/>
                <w:szCs w:val="18"/>
              </w:rPr>
              <w:t>400g</w:t>
            </w:r>
          </w:p>
        </w:tc>
        <w:tc>
          <w:tcPr>
            <w:tcW w:w="2432" w:type="dxa"/>
            <w:noWrap w:val="0"/>
            <w:vAlign w:val="top"/>
          </w:tcPr>
          <w:p>
            <w:pPr>
              <w:spacing w:line="560" w:lineRule="exact"/>
              <w:jc w:val="center"/>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2</w:t>
            </w:r>
          </w:p>
        </w:tc>
        <w:tc>
          <w:tcPr>
            <w:tcW w:w="1357" w:type="dxa"/>
            <w:noWrap w:val="0"/>
            <w:vAlign w:val="center"/>
          </w:tcPr>
          <w:p>
            <w:pPr>
              <w:spacing w:line="560" w:lineRule="exact"/>
              <w:jc w:val="center"/>
              <w:rPr>
                <w:rFonts w:hint="eastAsia"/>
                <w:sz w:val="18"/>
                <w:szCs w:val="18"/>
              </w:rPr>
            </w:pPr>
            <w:r>
              <w:rPr>
                <w:rFonts w:hint="eastAsia"/>
                <w:sz w:val="18"/>
                <w:szCs w:val="18"/>
              </w:rPr>
              <w:t>老豆腐</w:t>
            </w:r>
          </w:p>
        </w:tc>
        <w:tc>
          <w:tcPr>
            <w:tcW w:w="1560" w:type="dxa"/>
            <w:noWrap w:val="0"/>
            <w:vAlign w:val="center"/>
          </w:tcPr>
          <w:p>
            <w:pPr>
              <w:spacing w:line="560" w:lineRule="exact"/>
              <w:jc w:val="center"/>
              <w:rPr>
                <w:rFonts w:hint="eastAsia"/>
                <w:sz w:val="18"/>
                <w:szCs w:val="18"/>
              </w:rPr>
            </w:pPr>
            <w:r>
              <w:rPr>
                <w:rFonts w:hint="eastAsia"/>
                <w:sz w:val="18"/>
                <w:szCs w:val="18"/>
              </w:rPr>
              <w:t>GB4789-2016</w:t>
            </w:r>
          </w:p>
        </w:tc>
        <w:tc>
          <w:tcPr>
            <w:tcW w:w="1431" w:type="dxa"/>
            <w:noWrap w:val="0"/>
            <w:vAlign w:val="center"/>
          </w:tcPr>
          <w:p>
            <w:pPr>
              <w:spacing w:line="560" w:lineRule="exact"/>
              <w:jc w:val="center"/>
              <w:rPr>
                <w:rFonts w:hint="eastAsia"/>
                <w:szCs w:val="21"/>
              </w:rPr>
            </w:pPr>
            <w:r>
              <w:rPr>
                <w:rFonts w:hint="eastAsia"/>
                <w:szCs w:val="21"/>
              </w:rPr>
              <w:t>4.7</w:t>
            </w:r>
          </w:p>
        </w:tc>
        <w:tc>
          <w:tcPr>
            <w:tcW w:w="1586" w:type="dxa"/>
            <w:noWrap w:val="0"/>
            <w:vAlign w:val="center"/>
          </w:tcPr>
          <w:p>
            <w:pPr>
              <w:spacing w:line="560" w:lineRule="exact"/>
              <w:jc w:val="center"/>
              <w:rPr>
                <w:rFonts w:hint="eastAsia"/>
                <w:sz w:val="18"/>
                <w:szCs w:val="18"/>
              </w:rPr>
            </w:pPr>
            <w:r>
              <w:rPr>
                <w:rFonts w:hint="eastAsia"/>
                <w:sz w:val="18"/>
                <w:szCs w:val="18"/>
              </w:rPr>
              <w:t>490g</w:t>
            </w:r>
          </w:p>
        </w:tc>
        <w:tc>
          <w:tcPr>
            <w:tcW w:w="2432" w:type="dxa"/>
            <w:noWrap w:val="0"/>
            <w:vAlign w:val="top"/>
          </w:tcPr>
          <w:p>
            <w:pPr>
              <w:spacing w:line="560" w:lineRule="exact"/>
              <w:jc w:val="center"/>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3</w:t>
            </w:r>
          </w:p>
        </w:tc>
        <w:tc>
          <w:tcPr>
            <w:tcW w:w="1357" w:type="dxa"/>
            <w:noWrap w:val="0"/>
            <w:vAlign w:val="center"/>
          </w:tcPr>
          <w:p>
            <w:pPr>
              <w:spacing w:line="560" w:lineRule="exact"/>
              <w:jc w:val="center"/>
              <w:rPr>
                <w:rFonts w:hint="eastAsia"/>
                <w:sz w:val="18"/>
                <w:szCs w:val="18"/>
              </w:rPr>
            </w:pPr>
            <w:r>
              <w:rPr>
                <w:rFonts w:hint="eastAsia"/>
                <w:sz w:val="18"/>
                <w:szCs w:val="18"/>
              </w:rPr>
              <w:t>干豆腐</w:t>
            </w:r>
          </w:p>
        </w:tc>
        <w:tc>
          <w:tcPr>
            <w:tcW w:w="1560" w:type="dxa"/>
            <w:noWrap w:val="0"/>
            <w:vAlign w:val="center"/>
          </w:tcPr>
          <w:p>
            <w:pPr>
              <w:spacing w:line="560" w:lineRule="exact"/>
              <w:jc w:val="center"/>
              <w:rPr>
                <w:sz w:val="18"/>
                <w:szCs w:val="18"/>
              </w:rPr>
            </w:pPr>
            <w:r>
              <w:rPr>
                <w:rFonts w:hint="eastAsia"/>
                <w:sz w:val="18"/>
                <w:szCs w:val="18"/>
              </w:rPr>
              <w:t>GB/T22106-2008</w:t>
            </w:r>
          </w:p>
        </w:tc>
        <w:tc>
          <w:tcPr>
            <w:tcW w:w="1431" w:type="dxa"/>
            <w:noWrap w:val="0"/>
            <w:vAlign w:val="center"/>
          </w:tcPr>
          <w:p>
            <w:pPr>
              <w:spacing w:line="560" w:lineRule="exact"/>
              <w:jc w:val="center"/>
              <w:rPr>
                <w:rFonts w:hint="eastAsia"/>
                <w:szCs w:val="21"/>
              </w:rPr>
            </w:pPr>
            <w:r>
              <w:rPr>
                <w:rFonts w:hint="eastAsia"/>
                <w:szCs w:val="21"/>
              </w:rPr>
              <w:t>3.7</w:t>
            </w:r>
          </w:p>
        </w:tc>
        <w:tc>
          <w:tcPr>
            <w:tcW w:w="1586" w:type="dxa"/>
            <w:noWrap w:val="0"/>
            <w:vAlign w:val="center"/>
          </w:tcPr>
          <w:p>
            <w:pPr>
              <w:spacing w:line="560" w:lineRule="exact"/>
              <w:jc w:val="center"/>
              <w:rPr>
                <w:sz w:val="18"/>
                <w:szCs w:val="18"/>
              </w:rPr>
            </w:pPr>
          </w:p>
        </w:tc>
        <w:tc>
          <w:tcPr>
            <w:tcW w:w="2432" w:type="dxa"/>
            <w:noWrap w:val="0"/>
            <w:vAlign w:val="top"/>
          </w:tcPr>
          <w:p>
            <w:pPr>
              <w:spacing w:line="56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4</w:t>
            </w:r>
          </w:p>
        </w:tc>
        <w:tc>
          <w:tcPr>
            <w:tcW w:w="1357" w:type="dxa"/>
            <w:noWrap w:val="0"/>
            <w:vAlign w:val="center"/>
          </w:tcPr>
          <w:p>
            <w:pPr>
              <w:spacing w:line="560" w:lineRule="exact"/>
              <w:jc w:val="center"/>
              <w:rPr>
                <w:rFonts w:hint="eastAsia"/>
                <w:sz w:val="18"/>
                <w:szCs w:val="18"/>
              </w:rPr>
            </w:pPr>
            <w:r>
              <w:rPr>
                <w:rFonts w:hint="eastAsia"/>
                <w:sz w:val="18"/>
                <w:szCs w:val="18"/>
              </w:rPr>
              <w:t>日本豆腐</w:t>
            </w:r>
          </w:p>
        </w:tc>
        <w:tc>
          <w:tcPr>
            <w:tcW w:w="1560" w:type="dxa"/>
            <w:noWrap w:val="0"/>
            <w:vAlign w:val="center"/>
          </w:tcPr>
          <w:p>
            <w:pPr>
              <w:spacing w:line="560" w:lineRule="exact"/>
              <w:jc w:val="center"/>
              <w:rPr>
                <w:sz w:val="18"/>
                <w:szCs w:val="18"/>
              </w:rPr>
            </w:pPr>
            <w:r>
              <w:rPr>
                <w:rFonts w:hint="eastAsia"/>
                <w:sz w:val="18"/>
                <w:szCs w:val="18"/>
              </w:rPr>
              <w:t>GB4789-2016</w:t>
            </w:r>
          </w:p>
        </w:tc>
        <w:tc>
          <w:tcPr>
            <w:tcW w:w="1431" w:type="dxa"/>
            <w:noWrap w:val="0"/>
            <w:vAlign w:val="center"/>
          </w:tcPr>
          <w:p>
            <w:pPr>
              <w:spacing w:line="560" w:lineRule="exact"/>
              <w:jc w:val="center"/>
              <w:rPr>
                <w:rFonts w:hint="eastAsia"/>
                <w:szCs w:val="21"/>
              </w:rPr>
            </w:pPr>
            <w:r>
              <w:rPr>
                <w:rFonts w:hint="eastAsia"/>
                <w:szCs w:val="21"/>
              </w:rPr>
              <w:t>2</w:t>
            </w:r>
          </w:p>
        </w:tc>
        <w:tc>
          <w:tcPr>
            <w:tcW w:w="1586" w:type="dxa"/>
            <w:noWrap w:val="0"/>
            <w:vAlign w:val="center"/>
          </w:tcPr>
          <w:p>
            <w:pPr>
              <w:spacing w:line="560" w:lineRule="exact"/>
              <w:jc w:val="center"/>
              <w:rPr>
                <w:rFonts w:hint="eastAsia"/>
                <w:sz w:val="18"/>
                <w:szCs w:val="18"/>
              </w:rPr>
            </w:pPr>
            <w:r>
              <w:rPr>
                <w:rFonts w:hint="eastAsia"/>
                <w:sz w:val="18"/>
                <w:szCs w:val="18"/>
              </w:rPr>
              <w:t>85g</w:t>
            </w:r>
          </w:p>
        </w:tc>
        <w:tc>
          <w:tcPr>
            <w:tcW w:w="2432" w:type="dxa"/>
            <w:noWrap w:val="0"/>
            <w:vAlign w:val="top"/>
          </w:tcPr>
          <w:p>
            <w:pPr>
              <w:spacing w:line="560" w:lineRule="exact"/>
              <w:jc w:val="center"/>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5</w:t>
            </w:r>
          </w:p>
        </w:tc>
        <w:tc>
          <w:tcPr>
            <w:tcW w:w="1357" w:type="dxa"/>
            <w:noWrap w:val="0"/>
            <w:vAlign w:val="center"/>
          </w:tcPr>
          <w:p>
            <w:pPr>
              <w:spacing w:line="560" w:lineRule="exact"/>
              <w:jc w:val="center"/>
              <w:rPr>
                <w:rFonts w:hint="eastAsia"/>
                <w:color w:val="FF0000"/>
                <w:sz w:val="18"/>
                <w:szCs w:val="18"/>
              </w:rPr>
            </w:pPr>
            <w:r>
              <w:rPr>
                <w:rFonts w:hint="eastAsia"/>
                <w:color w:val="FF0000"/>
                <w:sz w:val="18"/>
                <w:szCs w:val="18"/>
              </w:rPr>
              <w:t>炸豆腐泡</w:t>
            </w:r>
          </w:p>
        </w:tc>
        <w:tc>
          <w:tcPr>
            <w:tcW w:w="1560" w:type="dxa"/>
            <w:noWrap w:val="0"/>
            <w:vAlign w:val="top"/>
          </w:tcPr>
          <w:p>
            <w:pPr>
              <w:spacing w:line="560" w:lineRule="exact"/>
              <w:rPr>
                <w:sz w:val="18"/>
                <w:szCs w:val="18"/>
              </w:rPr>
            </w:pPr>
            <w:r>
              <w:rPr>
                <w:rFonts w:hint="eastAsia"/>
                <w:sz w:val="18"/>
                <w:szCs w:val="18"/>
              </w:rPr>
              <w:t>GB/T22106-2008</w:t>
            </w:r>
          </w:p>
        </w:tc>
        <w:tc>
          <w:tcPr>
            <w:tcW w:w="1431" w:type="dxa"/>
            <w:noWrap w:val="0"/>
            <w:vAlign w:val="center"/>
          </w:tcPr>
          <w:p>
            <w:pPr>
              <w:spacing w:line="560" w:lineRule="exact"/>
              <w:jc w:val="center"/>
              <w:rPr>
                <w:rFonts w:hint="eastAsia"/>
                <w:szCs w:val="21"/>
              </w:rPr>
            </w:pPr>
            <w:r>
              <w:rPr>
                <w:rFonts w:hint="eastAsia"/>
                <w:szCs w:val="21"/>
              </w:rPr>
              <w:t>1.2</w:t>
            </w:r>
          </w:p>
        </w:tc>
        <w:tc>
          <w:tcPr>
            <w:tcW w:w="1586" w:type="dxa"/>
            <w:noWrap w:val="0"/>
            <w:vAlign w:val="center"/>
          </w:tcPr>
          <w:p>
            <w:pPr>
              <w:spacing w:line="560" w:lineRule="exact"/>
              <w:jc w:val="center"/>
              <w:rPr>
                <w:sz w:val="18"/>
                <w:szCs w:val="18"/>
              </w:rPr>
            </w:pPr>
          </w:p>
        </w:tc>
        <w:tc>
          <w:tcPr>
            <w:tcW w:w="2432" w:type="dxa"/>
            <w:noWrap w:val="0"/>
            <w:vAlign w:val="top"/>
          </w:tcPr>
          <w:p>
            <w:pPr>
              <w:spacing w:line="56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6</w:t>
            </w:r>
          </w:p>
        </w:tc>
        <w:tc>
          <w:tcPr>
            <w:tcW w:w="1357" w:type="dxa"/>
            <w:noWrap w:val="0"/>
            <w:vAlign w:val="center"/>
          </w:tcPr>
          <w:p>
            <w:pPr>
              <w:spacing w:line="560" w:lineRule="exact"/>
              <w:jc w:val="center"/>
              <w:rPr>
                <w:rFonts w:hint="eastAsia"/>
                <w:sz w:val="18"/>
                <w:szCs w:val="18"/>
              </w:rPr>
            </w:pPr>
            <w:r>
              <w:rPr>
                <w:rFonts w:hint="eastAsia"/>
                <w:sz w:val="18"/>
                <w:szCs w:val="18"/>
              </w:rPr>
              <w:t>内脂豆腐</w:t>
            </w:r>
          </w:p>
        </w:tc>
        <w:tc>
          <w:tcPr>
            <w:tcW w:w="1560" w:type="dxa"/>
            <w:noWrap w:val="0"/>
            <w:vAlign w:val="center"/>
          </w:tcPr>
          <w:p>
            <w:pPr>
              <w:spacing w:line="560" w:lineRule="exact"/>
              <w:jc w:val="center"/>
              <w:rPr>
                <w:sz w:val="18"/>
                <w:szCs w:val="18"/>
              </w:rPr>
            </w:pPr>
            <w:r>
              <w:rPr>
                <w:rFonts w:hint="eastAsia"/>
                <w:sz w:val="18"/>
                <w:szCs w:val="18"/>
              </w:rPr>
              <w:t>GB4789-2016</w:t>
            </w:r>
          </w:p>
        </w:tc>
        <w:tc>
          <w:tcPr>
            <w:tcW w:w="1431" w:type="dxa"/>
            <w:noWrap w:val="0"/>
            <w:vAlign w:val="center"/>
          </w:tcPr>
          <w:p>
            <w:pPr>
              <w:spacing w:line="560" w:lineRule="exact"/>
              <w:jc w:val="center"/>
              <w:rPr>
                <w:rFonts w:hint="eastAsia"/>
                <w:szCs w:val="21"/>
              </w:rPr>
            </w:pPr>
            <w:r>
              <w:rPr>
                <w:rFonts w:hint="eastAsia"/>
                <w:szCs w:val="21"/>
              </w:rPr>
              <w:t>1.1</w:t>
            </w:r>
          </w:p>
        </w:tc>
        <w:tc>
          <w:tcPr>
            <w:tcW w:w="1586" w:type="dxa"/>
            <w:noWrap w:val="0"/>
            <w:vAlign w:val="center"/>
          </w:tcPr>
          <w:p>
            <w:pPr>
              <w:spacing w:line="560" w:lineRule="exact"/>
              <w:jc w:val="center"/>
              <w:rPr>
                <w:rFonts w:hint="eastAsia"/>
                <w:sz w:val="18"/>
                <w:szCs w:val="18"/>
              </w:rPr>
            </w:pPr>
            <w:r>
              <w:rPr>
                <w:rFonts w:hint="eastAsia"/>
                <w:sz w:val="18"/>
                <w:szCs w:val="18"/>
              </w:rPr>
              <w:t>400g</w:t>
            </w:r>
          </w:p>
        </w:tc>
        <w:tc>
          <w:tcPr>
            <w:tcW w:w="2432" w:type="dxa"/>
            <w:noWrap w:val="0"/>
            <w:vAlign w:val="top"/>
          </w:tcPr>
          <w:p>
            <w:pPr>
              <w:spacing w:line="560" w:lineRule="exact"/>
              <w:jc w:val="center"/>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7</w:t>
            </w:r>
          </w:p>
        </w:tc>
        <w:tc>
          <w:tcPr>
            <w:tcW w:w="1357" w:type="dxa"/>
            <w:noWrap w:val="0"/>
            <w:vAlign w:val="center"/>
          </w:tcPr>
          <w:p>
            <w:pPr>
              <w:spacing w:line="560" w:lineRule="exact"/>
              <w:jc w:val="center"/>
              <w:rPr>
                <w:rFonts w:hint="eastAsia"/>
                <w:color w:val="FF0000"/>
                <w:sz w:val="18"/>
                <w:szCs w:val="18"/>
              </w:rPr>
            </w:pPr>
            <w:r>
              <w:rPr>
                <w:rFonts w:hint="eastAsia"/>
                <w:color w:val="FF0000"/>
                <w:sz w:val="18"/>
                <w:szCs w:val="18"/>
              </w:rPr>
              <w:t>干豆腐丝</w:t>
            </w:r>
          </w:p>
        </w:tc>
        <w:tc>
          <w:tcPr>
            <w:tcW w:w="1560" w:type="dxa"/>
            <w:noWrap w:val="0"/>
            <w:vAlign w:val="center"/>
          </w:tcPr>
          <w:p>
            <w:pPr>
              <w:spacing w:line="560" w:lineRule="exact"/>
              <w:jc w:val="center"/>
              <w:rPr>
                <w:sz w:val="18"/>
                <w:szCs w:val="18"/>
              </w:rPr>
            </w:pPr>
            <w:r>
              <w:rPr>
                <w:rFonts w:hint="eastAsia"/>
                <w:sz w:val="18"/>
                <w:szCs w:val="18"/>
              </w:rPr>
              <w:t>GB/T22106-2008</w:t>
            </w:r>
          </w:p>
        </w:tc>
        <w:tc>
          <w:tcPr>
            <w:tcW w:w="1431" w:type="dxa"/>
            <w:noWrap w:val="0"/>
            <w:vAlign w:val="center"/>
          </w:tcPr>
          <w:p>
            <w:pPr>
              <w:spacing w:line="560" w:lineRule="exact"/>
              <w:jc w:val="center"/>
              <w:rPr>
                <w:rFonts w:hint="eastAsia"/>
                <w:szCs w:val="21"/>
              </w:rPr>
            </w:pPr>
            <w:r>
              <w:rPr>
                <w:rFonts w:hint="eastAsia"/>
                <w:szCs w:val="21"/>
              </w:rPr>
              <w:t>1.1</w:t>
            </w:r>
          </w:p>
        </w:tc>
        <w:tc>
          <w:tcPr>
            <w:tcW w:w="1586" w:type="dxa"/>
            <w:noWrap w:val="0"/>
            <w:vAlign w:val="center"/>
          </w:tcPr>
          <w:p>
            <w:pPr>
              <w:spacing w:line="560" w:lineRule="exact"/>
              <w:jc w:val="center"/>
              <w:rPr>
                <w:sz w:val="18"/>
                <w:szCs w:val="18"/>
              </w:rPr>
            </w:pPr>
          </w:p>
        </w:tc>
        <w:tc>
          <w:tcPr>
            <w:tcW w:w="2432" w:type="dxa"/>
            <w:noWrap w:val="0"/>
            <w:vAlign w:val="top"/>
          </w:tcPr>
          <w:p>
            <w:pPr>
              <w:spacing w:line="56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8</w:t>
            </w:r>
          </w:p>
        </w:tc>
        <w:tc>
          <w:tcPr>
            <w:tcW w:w="1357" w:type="dxa"/>
            <w:noWrap w:val="0"/>
            <w:vAlign w:val="center"/>
          </w:tcPr>
          <w:p>
            <w:pPr>
              <w:spacing w:line="560" w:lineRule="exact"/>
              <w:jc w:val="center"/>
              <w:rPr>
                <w:rFonts w:hint="eastAsia"/>
                <w:sz w:val="18"/>
                <w:szCs w:val="18"/>
              </w:rPr>
            </w:pPr>
            <w:r>
              <w:rPr>
                <w:rFonts w:hint="eastAsia"/>
                <w:sz w:val="18"/>
                <w:szCs w:val="18"/>
              </w:rPr>
              <w:t>素鸡豆腐</w:t>
            </w:r>
          </w:p>
        </w:tc>
        <w:tc>
          <w:tcPr>
            <w:tcW w:w="1560" w:type="dxa"/>
            <w:noWrap w:val="0"/>
            <w:vAlign w:val="center"/>
          </w:tcPr>
          <w:p>
            <w:pPr>
              <w:spacing w:line="560" w:lineRule="exact"/>
              <w:jc w:val="center"/>
              <w:rPr>
                <w:sz w:val="18"/>
                <w:szCs w:val="18"/>
              </w:rPr>
            </w:pPr>
            <w:r>
              <w:rPr>
                <w:rFonts w:hint="eastAsia"/>
                <w:sz w:val="18"/>
                <w:szCs w:val="18"/>
              </w:rPr>
              <w:t>GB4789-2016</w:t>
            </w:r>
          </w:p>
        </w:tc>
        <w:tc>
          <w:tcPr>
            <w:tcW w:w="1431" w:type="dxa"/>
            <w:noWrap w:val="0"/>
            <w:vAlign w:val="center"/>
          </w:tcPr>
          <w:p>
            <w:pPr>
              <w:spacing w:line="560" w:lineRule="exact"/>
              <w:jc w:val="center"/>
              <w:rPr>
                <w:rFonts w:hint="eastAsia"/>
                <w:szCs w:val="21"/>
              </w:rPr>
            </w:pPr>
            <w:r>
              <w:rPr>
                <w:rFonts w:hint="eastAsia"/>
                <w:szCs w:val="21"/>
              </w:rPr>
              <w:t>1</w:t>
            </w:r>
          </w:p>
        </w:tc>
        <w:tc>
          <w:tcPr>
            <w:tcW w:w="1586" w:type="dxa"/>
            <w:noWrap w:val="0"/>
            <w:vAlign w:val="center"/>
          </w:tcPr>
          <w:p>
            <w:pPr>
              <w:spacing w:line="560" w:lineRule="exact"/>
              <w:jc w:val="center"/>
              <w:rPr>
                <w:sz w:val="18"/>
                <w:szCs w:val="18"/>
              </w:rPr>
            </w:pPr>
          </w:p>
        </w:tc>
        <w:tc>
          <w:tcPr>
            <w:tcW w:w="2432" w:type="dxa"/>
            <w:noWrap w:val="0"/>
            <w:vAlign w:val="top"/>
          </w:tcPr>
          <w:p>
            <w:pPr>
              <w:spacing w:line="56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9</w:t>
            </w:r>
          </w:p>
        </w:tc>
        <w:tc>
          <w:tcPr>
            <w:tcW w:w="1357" w:type="dxa"/>
            <w:noWrap w:val="0"/>
            <w:vAlign w:val="center"/>
          </w:tcPr>
          <w:p>
            <w:pPr>
              <w:spacing w:line="560" w:lineRule="exact"/>
              <w:jc w:val="center"/>
              <w:rPr>
                <w:rFonts w:hint="eastAsia"/>
                <w:sz w:val="18"/>
                <w:szCs w:val="18"/>
              </w:rPr>
            </w:pPr>
            <w:r>
              <w:rPr>
                <w:rFonts w:hint="eastAsia"/>
                <w:sz w:val="18"/>
                <w:szCs w:val="18"/>
              </w:rPr>
              <w:t>水豆腐</w:t>
            </w:r>
          </w:p>
        </w:tc>
        <w:tc>
          <w:tcPr>
            <w:tcW w:w="1560" w:type="dxa"/>
            <w:noWrap w:val="0"/>
            <w:vAlign w:val="center"/>
          </w:tcPr>
          <w:p>
            <w:pPr>
              <w:spacing w:line="560" w:lineRule="exact"/>
              <w:jc w:val="center"/>
              <w:rPr>
                <w:sz w:val="18"/>
                <w:szCs w:val="18"/>
              </w:rPr>
            </w:pPr>
            <w:r>
              <w:rPr>
                <w:rFonts w:hint="eastAsia"/>
                <w:sz w:val="18"/>
                <w:szCs w:val="18"/>
              </w:rPr>
              <w:t>GB/T22106-2008</w:t>
            </w:r>
          </w:p>
        </w:tc>
        <w:tc>
          <w:tcPr>
            <w:tcW w:w="1431" w:type="dxa"/>
            <w:noWrap w:val="0"/>
            <w:vAlign w:val="center"/>
          </w:tcPr>
          <w:p>
            <w:pPr>
              <w:spacing w:line="560" w:lineRule="exact"/>
              <w:jc w:val="center"/>
              <w:rPr>
                <w:rFonts w:hint="eastAsia"/>
                <w:szCs w:val="21"/>
              </w:rPr>
            </w:pPr>
            <w:r>
              <w:rPr>
                <w:rFonts w:hint="eastAsia"/>
                <w:szCs w:val="21"/>
              </w:rPr>
              <w:t>0.8</w:t>
            </w:r>
          </w:p>
        </w:tc>
        <w:tc>
          <w:tcPr>
            <w:tcW w:w="1586" w:type="dxa"/>
            <w:noWrap w:val="0"/>
            <w:vAlign w:val="center"/>
          </w:tcPr>
          <w:p>
            <w:pPr>
              <w:spacing w:line="560" w:lineRule="exact"/>
              <w:jc w:val="center"/>
              <w:rPr>
                <w:rFonts w:hint="eastAsia"/>
                <w:sz w:val="18"/>
                <w:szCs w:val="18"/>
              </w:rPr>
            </w:pPr>
            <w:r>
              <w:rPr>
                <w:rFonts w:hint="eastAsia"/>
                <w:sz w:val="18"/>
                <w:szCs w:val="18"/>
              </w:rPr>
              <w:t>9kg</w:t>
            </w:r>
          </w:p>
        </w:tc>
        <w:tc>
          <w:tcPr>
            <w:tcW w:w="2432" w:type="dxa"/>
            <w:noWrap w:val="0"/>
            <w:vAlign w:val="top"/>
          </w:tcPr>
          <w:p>
            <w:pPr>
              <w:spacing w:line="560" w:lineRule="exact"/>
              <w:jc w:val="center"/>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10</w:t>
            </w:r>
          </w:p>
        </w:tc>
        <w:tc>
          <w:tcPr>
            <w:tcW w:w="1357" w:type="dxa"/>
            <w:noWrap w:val="0"/>
            <w:vAlign w:val="center"/>
          </w:tcPr>
          <w:p>
            <w:pPr>
              <w:spacing w:line="560" w:lineRule="exact"/>
              <w:jc w:val="center"/>
              <w:rPr>
                <w:rFonts w:hint="eastAsia"/>
                <w:color w:val="FF0000"/>
                <w:sz w:val="18"/>
                <w:szCs w:val="18"/>
              </w:rPr>
            </w:pPr>
            <w:r>
              <w:rPr>
                <w:rFonts w:hint="eastAsia"/>
                <w:color w:val="FF0000"/>
                <w:sz w:val="18"/>
                <w:szCs w:val="18"/>
              </w:rPr>
              <w:t>豆腐干</w:t>
            </w:r>
          </w:p>
        </w:tc>
        <w:tc>
          <w:tcPr>
            <w:tcW w:w="1560" w:type="dxa"/>
            <w:noWrap w:val="0"/>
            <w:vAlign w:val="center"/>
          </w:tcPr>
          <w:p>
            <w:pPr>
              <w:spacing w:line="560" w:lineRule="exact"/>
              <w:jc w:val="center"/>
              <w:rPr>
                <w:sz w:val="18"/>
                <w:szCs w:val="18"/>
              </w:rPr>
            </w:pPr>
            <w:r>
              <w:rPr>
                <w:rFonts w:hint="eastAsia"/>
                <w:sz w:val="18"/>
                <w:szCs w:val="18"/>
              </w:rPr>
              <w:t>GB/T22106-2008</w:t>
            </w:r>
          </w:p>
        </w:tc>
        <w:tc>
          <w:tcPr>
            <w:tcW w:w="1431" w:type="dxa"/>
            <w:noWrap w:val="0"/>
            <w:vAlign w:val="center"/>
          </w:tcPr>
          <w:p>
            <w:pPr>
              <w:spacing w:line="560" w:lineRule="exact"/>
              <w:jc w:val="center"/>
              <w:rPr>
                <w:rFonts w:hint="eastAsia"/>
                <w:szCs w:val="21"/>
              </w:rPr>
            </w:pPr>
            <w:r>
              <w:rPr>
                <w:rFonts w:hint="eastAsia"/>
                <w:szCs w:val="21"/>
              </w:rPr>
              <w:t>0.6</w:t>
            </w:r>
          </w:p>
        </w:tc>
        <w:tc>
          <w:tcPr>
            <w:tcW w:w="1586" w:type="dxa"/>
            <w:noWrap w:val="0"/>
            <w:vAlign w:val="center"/>
          </w:tcPr>
          <w:p>
            <w:pPr>
              <w:spacing w:line="560" w:lineRule="exact"/>
              <w:jc w:val="center"/>
              <w:rPr>
                <w:sz w:val="18"/>
                <w:szCs w:val="18"/>
              </w:rPr>
            </w:pPr>
          </w:p>
        </w:tc>
        <w:tc>
          <w:tcPr>
            <w:tcW w:w="2432" w:type="dxa"/>
            <w:noWrap w:val="0"/>
            <w:vAlign w:val="top"/>
          </w:tcPr>
          <w:p>
            <w:pPr>
              <w:spacing w:line="56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11</w:t>
            </w:r>
          </w:p>
        </w:tc>
        <w:tc>
          <w:tcPr>
            <w:tcW w:w="1357" w:type="dxa"/>
            <w:noWrap w:val="0"/>
            <w:vAlign w:val="center"/>
          </w:tcPr>
          <w:p>
            <w:pPr>
              <w:spacing w:line="560" w:lineRule="exact"/>
              <w:jc w:val="center"/>
              <w:rPr>
                <w:rFonts w:hint="eastAsia"/>
                <w:color w:val="FF0000"/>
                <w:sz w:val="18"/>
                <w:szCs w:val="18"/>
              </w:rPr>
            </w:pPr>
            <w:r>
              <w:rPr>
                <w:rFonts w:hint="eastAsia"/>
                <w:color w:val="FF0000"/>
                <w:sz w:val="18"/>
                <w:szCs w:val="18"/>
              </w:rPr>
              <w:t>油豆腐皮</w:t>
            </w:r>
          </w:p>
        </w:tc>
        <w:tc>
          <w:tcPr>
            <w:tcW w:w="1560" w:type="dxa"/>
            <w:noWrap w:val="0"/>
            <w:vAlign w:val="center"/>
          </w:tcPr>
          <w:p>
            <w:pPr>
              <w:spacing w:line="560" w:lineRule="exact"/>
              <w:jc w:val="center"/>
              <w:rPr>
                <w:rFonts w:hint="eastAsia"/>
                <w:sz w:val="18"/>
                <w:szCs w:val="18"/>
              </w:rPr>
            </w:pPr>
            <w:r>
              <w:rPr>
                <w:rFonts w:hint="eastAsia"/>
                <w:sz w:val="18"/>
                <w:szCs w:val="18"/>
              </w:rPr>
              <w:t>GB/23494-2009</w:t>
            </w:r>
          </w:p>
        </w:tc>
        <w:tc>
          <w:tcPr>
            <w:tcW w:w="1431" w:type="dxa"/>
            <w:noWrap w:val="0"/>
            <w:vAlign w:val="center"/>
          </w:tcPr>
          <w:p>
            <w:pPr>
              <w:spacing w:line="560" w:lineRule="exact"/>
              <w:jc w:val="center"/>
              <w:rPr>
                <w:rFonts w:hint="eastAsia"/>
                <w:szCs w:val="21"/>
              </w:rPr>
            </w:pPr>
            <w:r>
              <w:rPr>
                <w:rFonts w:hint="eastAsia"/>
                <w:szCs w:val="21"/>
              </w:rPr>
              <w:t>0.5</w:t>
            </w:r>
          </w:p>
        </w:tc>
        <w:tc>
          <w:tcPr>
            <w:tcW w:w="1586" w:type="dxa"/>
            <w:noWrap w:val="0"/>
            <w:vAlign w:val="center"/>
          </w:tcPr>
          <w:p>
            <w:pPr>
              <w:spacing w:line="560" w:lineRule="exact"/>
              <w:jc w:val="center"/>
              <w:rPr>
                <w:rFonts w:hint="eastAsia"/>
                <w:sz w:val="18"/>
                <w:szCs w:val="18"/>
              </w:rPr>
            </w:pPr>
            <w:r>
              <w:rPr>
                <w:rFonts w:hint="eastAsia"/>
                <w:sz w:val="18"/>
                <w:szCs w:val="18"/>
              </w:rPr>
              <w:t>85g</w:t>
            </w:r>
          </w:p>
        </w:tc>
        <w:tc>
          <w:tcPr>
            <w:tcW w:w="2432" w:type="dxa"/>
            <w:noWrap w:val="0"/>
            <w:vAlign w:val="top"/>
          </w:tcPr>
          <w:p>
            <w:pPr>
              <w:spacing w:line="560" w:lineRule="exact"/>
              <w:jc w:val="center"/>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12</w:t>
            </w:r>
          </w:p>
        </w:tc>
        <w:tc>
          <w:tcPr>
            <w:tcW w:w="1357" w:type="dxa"/>
            <w:noWrap w:val="0"/>
            <w:vAlign w:val="center"/>
          </w:tcPr>
          <w:p>
            <w:pPr>
              <w:spacing w:line="560" w:lineRule="exact"/>
              <w:jc w:val="center"/>
              <w:rPr>
                <w:rFonts w:hint="eastAsia"/>
                <w:color w:val="FF0000"/>
                <w:sz w:val="18"/>
                <w:szCs w:val="18"/>
              </w:rPr>
            </w:pPr>
            <w:r>
              <w:rPr>
                <w:rFonts w:hint="eastAsia"/>
                <w:color w:val="FF0000"/>
                <w:sz w:val="18"/>
                <w:szCs w:val="18"/>
              </w:rPr>
              <w:t>干豆腐边</w:t>
            </w:r>
          </w:p>
        </w:tc>
        <w:tc>
          <w:tcPr>
            <w:tcW w:w="1560" w:type="dxa"/>
            <w:noWrap w:val="0"/>
            <w:vAlign w:val="center"/>
          </w:tcPr>
          <w:p>
            <w:pPr>
              <w:spacing w:line="560" w:lineRule="exact"/>
              <w:jc w:val="center"/>
              <w:rPr>
                <w:sz w:val="18"/>
                <w:szCs w:val="18"/>
              </w:rPr>
            </w:pPr>
            <w:r>
              <w:rPr>
                <w:rFonts w:hint="eastAsia"/>
                <w:sz w:val="18"/>
                <w:szCs w:val="18"/>
              </w:rPr>
              <w:t>GB/T22106-2008</w:t>
            </w:r>
          </w:p>
        </w:tc>
        <w:tc>
          <w:tcPr>
            <w:tcW w:w="1431" w:type="dxa"/>
            <w:noWrap w:val="0"/>
            <w:vAlign w:val="center"/>
          </w:tcPr>
          <w:p>
            <w:pPr>
              <w:spacing w:line="560" w:lineRule="exact"/>
              <w:jc w:val="center"/>
              <w:rPr>
                <w:rFonts w:hint="eastAsia"/>
                <w:szCs w:val="21"/>
              </w:rPr>
            </w:pPr>
            <w:r>
              <w:rPr>
                <w:rFonts w:hint="eastAsia"/>
                <w:szCs w:val="21"/>
              </w:rPr>
              <w:t>0.2</w:t>
            </w:r>
          </w:p>
        </w:tc>
        <w:tc>
          <w:tcPr>
            <w:tcW w:w="1586" w:type="dxa"/>
            <w:noWrap w:val="0"/>
            <w:vAlign w:val="center"/>
          </w:tcPr>
          <w:p>
            <w:pPr>
              <w:spacing w:line="560" w:lineRule="exact"/>
              <w:jc w:val="center"/>
              <w:rPr>
                <w:sz w:val="18"/>
                <w:szCs w:val="18"/>
              </w:rPr>
            </w:pPr>
          </w:p>
        </w:tc>
        <w:tc>
          <w:tcPr>
            <w:tcW w:w="2432" w:type="dxa"/>
            <w:noWrap w:val="0"/>
            <w:vAlign w:val="top"/>
          </w:tcPr>
          <w:p>
            <w:pPr>
              <w:spacing w:line="56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13</w:t>
            </w:r>
          </w:p>
        </w:tc>
        <w:tc>
          <w:tcPr>
            <w:tcW w:w="1357" w:type="dxa"/>
            <w:noWrap w:val="0"/>
            <w:vAlign w:val="center"/>
          </w:tcPr>
          <w:p>
            <w:pPr>
              <w:spacing w:line="560" w:lineRule="exact"/>
              <w:jc w:val="center"/>
              <w:rPr>
                <w:rFonts w:hint="eastAsia"/>
                <w:color w:val="FF0000"/>
                <w:sz w:val="18"/>
                <w:szCs w:val="18"/>
              </w:rPr>
            </w:pPr>
            <w:r>
              <w:rPr>
                <w:rFonts w:hint="eastAsia"/>
                <w:color w:val="FF0000"/>
                <w:sz w:val="18"/>
                <w:szCs w:val="18"/>
              </w:rPr>
              <w:t>干豆腐皮</w:t>
            </w:r>
          </w:p>
        </w:tc>
        <w:tc>
          <w:tcPr>
            <w:tcW w:w="1560" w:type="dxa"/>
            <w:noWrap w:val="0"/>
            <w:vAlign w:val="center"/>
          </w:tcPr>
          <w:p>
            <w:pPr>
              <w:spacing w:line="560" w:lineRule="exact"/>
              <w:jc w:val="center"/>
              <w:rPr>
                <w:sz w:val="18"/>
                <w:szCs w:val="18"/>
              </w:rPr>
            </w:pPr>
            <w:r>
              <w:rPr>
                <w:rFonts w:hint="eastAsia"/>
                <w:sz w:val="18"/>
                <w:szCs w:val="18"/>
              </w:rPr>
              <w:t>GB/T22106-2008</w:t>
            </w:r>
          </w:p>
        </w:tc>
        <w:tc>
          <w:tcPr>
            <w:tcW w:w="1431" w:type="dxa"/>
            <w:noWrap w:val="0"/>
            <w:vAlign w:val="center"/>
          </w:tcPr>
          <w:p>
            <w:pPr>
              <w:spacing w:line="560" w:lineRule="exact"/>
              <w:jc w:val="center"/>
              <w:rPr>
                <w:rFonts w:hint="eastAsia"/>
                <w:szCs w:val="21"/>
              </w:rPr>
            </w:pPr>
            <w:r>
              <w:rPr>
                <w:rFonts w:hint="eastAsia"/>
                <w:szCs w:val="21"/>
              </w:rPr>
              <w:t>0.2</w:t>
            </w:r>
          </w:p>
        </w:tc>
        <w:tc>
          <w:tcPr>
            <w:tcW w:w="1586" w:type="dxa"/>
            <w:noWrap w:val="0"/>
            <w:vAlign w:val="center"/>
          </w:tcPr>
          <w:p>
            <w:pPr>
              <w:spacing w:line="560" w:lineRule="exact"/>
              <w:jc w:val="center"/>
              <w:rPr>
                <w:sz w:val="18"/>
                <w:szCs w:val="18"/>
              </w:rPr>
            </w:pPr>
          </w:p>
        </w:tc>
        <w:tc>
          <w:tcPr>
            <w:tcW w:w="2432" w:type="dxa"/>
            <w:noWrap w:val="0"/>
            <w:vAlign w:val="top"/>
          </w:tcPr>
          <w:p>
            <w:pPr>
              <w:spacing w:line="56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713" w:type="dxa"/>
            <w:noWrap w:val="0"/>
            <w:vAlign w:val="center"/>
          </w:tcPr>
          <w:p>
            <w:pPr>
              <w:spacing w:line="560" w:lineRule="exact"/>
              <w:jc w:val="center"/>
              <w:rPr>
                <w:sz w:val="18"/>
                <w:szCs w:val="18"/>
              </w:rPr>
            </w:pPr>
            <w:r>
              <w:rPr>
                <w:sz w:val="18"/>
                <w:szCs w:val="18"/>
              </w:rPr>
              <w:t>14</w:t>
            </w:r>
          </w:p>
        </w:tc>
        <w:tc>
          <w:tcPr>
            <w:tcW w:w="1357" w:type="dxa"/>
            <w:noWrap w:val="0"/>
            <w:vAlign w:val="center"/>
          </w:tcPr>
          <w:p>
            <w:pPr>
              <w:spacing w:line="560" w:lineRule="exact"/>
              <w:jc w:val="center"/>
              <w:rPr>
                <w:rFonts w:hint="eastAsia"/>
                <w:sz w:val="18"/>
                <w:szCs w:val="18"/>
              </w:rPr>
            </w:pPr>
            <w:r>
              <w:rPr>
                <w:rFonts w:hint="eastAsia"/>
                <w:sz w:val="18"/>
                <w:szCs w:val="18"/>
              </w:rPr>
              <w:t>娟豆腐</w:t>
            </w:r>
          </w:p>
        </w:tc>
        <w:tc>
          <w:tcPr>
            <w:tcW w:w="1560" w:type="dxa"/>
            <w:noWrap w:val="0"/>
            <w:vAlign w:val="center"/>
          </w:tcPr>
          <w:p>
            <w:pPr>
              <w:spacing w:line="560" w:lineRule="exact"/>
              <w:jc w:val="center"/>
              <w:rPr>
                <w:sz w:val="18"/>
                <w:szCs w:val="18"/>
              </w:rPr>
            </w:pPr>
            <w:r>
              <w:rPr>
                <w:rFonts w:hint="eastAsia"/>
                <w:sz w:val="18"/>
                <w:szCs w:val="18"/>
              </w:rPr>
              <w:t>GB4789-2016</w:t>
            </w:r>
          </w:p>
        </w:tc>
        <w:tc>
          <w:tcPr>
            <w:tcW w:w="1431" w:type="dxa"/>
            <w:noWrap w:val="0"/>
            <w:vAlign w:val="center"/>
          </w:tcPr>
          <w:p>
            <w:pPr>
              <w:spacing w:line="560" w:lineRule="exact"/>
              <w:jc w:val="center"/>
              <w:rPr>
                <w:rFonts w:hint="eastAsia"/>
                <w:szCs w:val="21"/>
              </w:rPr>
            </w:pPr>
            <w:r>
              <w:rPr>
                <w:rFonts w:hint="eastAsia"/>
                <w:szCs w:val="21"/>
              </w:rPr>
              <w:t>0.2</w:t>
            </w:r>
          </w:p>
        </w:tc>
        <w:tc>
          <w:tcPr>
            <w:tcW w:w="1586" w:type="dxa"/>
            <w:noWrap w:val="0"/>
            <w:vAlign w:val="center"/>
          </w:tcPr>
          <w:p>
            <w:pPr>
              <w:spacing w:line="560" w:lineRule="exact"/>
              <w:jc w:val="center"/>
              <w:rPr>
                <w:rFonts w:hint="eastAsia"/>
                <w:sz w:val="18"/>
                <w:szCs w:val="18"/>
              </w:rPr>
            </w:pPr>
            <w:r>
              <w:rPr>
                <w:rFonts w:hint="eastAsia"/>
                <w:sz w:val="18"/>
                <w:szCs w:val="18"/>
              </w:rPr>
              <w:t>400g</w:t>
            </w:r>
          </w:p>
        </w:tc>
        <w:tc>
          <w:tcPr>
            <w:tcW w:w="2432" w:type="dxa"/>
            <w:noWrap w:val="0"/>
            <w:vAlign w:val="top"/>
          </w:tcPr>
          <w:p>
            <w:pPr>
              <w:spacing w:line="560" w:lineRule="exact"/>
              <w:jc w:val="center"/>
              <w:rPr>
                <w:rFonts w:hint="eastAsia"/>
                <w:sz w:val="18"/>
                <w:szCs w:val="18"/>
              </w:rPr>
            </w:pPr>
          </w:p>
        </w:tc>
      </w:tr>
    </w:tbl>
    <w:p>
      <w:pPr>
        <w:pStyle w:val="11"/>
        <w:numPr>
          <w:ilvl w:val="0"/>
          <w:numId w:val="0"/>
        </w:numPr>
        <w:spacing w:line="341" w:lineRule="auto"/>
        <w:ind w:leftChars="0"/>
        <w:rPr>
          <w:b/>
          <w:color w:val="000000"/>
          <w:sz w:val="24"/>
        </w:rPr>
      </w:pPr>
    </w:p>
    <w:p>
      <w:pPr>
        <w:pStyle w:val="11"/>
        <w:numPr>
          <w:ilvl w:val="0"/>
          <w:numId w:val="1"/>
        </w:numPr>
        <w:spacing w:line="341" w:lineRule="auto"/>
        <w:ind w:firstLineChars="0"/>
        <w:rPr>
          <w:b/>
          <w:color w:val="000000"/>
          <w:sz w:val="24"/>
        </w:rPr>
      </w:pPr>
      <w:r>
        <w:rPr>
          <w:b/>
          <w:color w:val="000000"/>
          <w:sz w:val="24"/>
        </w:rPr>
        <w:t>要求：</w:t>
      </w:r>
    </w:p>
    <w:p>
      <w:pPr>
        <w:spacing w:line="400" w:lineRule="exact"/>
        <w:ind w:firstLine="480" w:firstLineChars="200"/>
        <w:rPr>
          <w:color w:val="000000"/>
          <w:sz w:val="24"/>
        </w:rPr>
      </w:pPr>
      <w:r>
        <w:rPr>
          <w:color w:val="000000"/>
          <w:sz w:val="24"/>
        </w:rPr>
        <w:t>1</w:t>
      </w:r>
      <w:r>
        <w:rPr>
          <w:rFonts w:hint="eastAsia"/>
          <w:color w:val="000000"/>
          <w:sz w:val="24"/>
        </w:rPr>
        <w:t>、协议期内向订购的产品，其数量应根据采购人需要分次供应，每次供货数量以订单为准。</w:t>
      </w:r>
    </w:p>
    <w:p>
      <w:pPr>
        <w:spacing w:line="400" w:lineRule="exact"/>
        <w:ind w:firstLine="480" w:firstLineChars="200"/>
        <w:rPr>
          <w:color w:val="000000"/>
          <w:sz w:val="24"/>
        </w:rPr>
      </w:pPr>
      <w:r>
        <w:rPr>
          <w:color w:val="000000"/>
          <w:sz w:val="24"/>
        </w:rPr>
        <w:t>2</w:t>
      </w:r>
      <w:r>
        <w:rPr>
          <w:rFonts w:hint="eastAsia"/>
          <w:color w:val="000000"/>
          <w:sz w:val="24"/>
        </w:rPr>
        <w:t>、不得提供临近保质期和超过保质期的原料，有效期应在产品出厂日期至保质期的二分之一时间范围内。</w:t>
      </w:r>
    </w:p>
    <w:p>
      <w:pPr>
        <w:spacing w:line="400" w:lineRule="exact"/>
        <w:ind w:firstLine="480" w:firstLineChars="200"/>
        <w:rPr>
          <w:color w:val="000000"/>
          <w:sz w:val="24"/>
        </w:rPr>
      </w:pPr>
      <w:r>
        <w:rPr>
          <w:color w:val="000000"/>
          <w:sz w:val="24"/>
        </w:rPr>
        <w:t>3</w:t>
      </w:r>
      <w:r>
        <w:rPr>
          <w:rFonts w:hint="eastAsia"/>
          <w:color w:val="000000"/>
          <w:sz w:val="24"/>
        </w:rPr>
        <w:t>、提供的产品应符合国家质量、食品卫生、食品安全标准和食品检验标准，并提供具有官方资质的相关检验部门出具的检疫或质量检验报告单。</w:t>
      </w:r>
    </w:p>
    <w:p>
      <w:pPr>
        <w:spacing w:line="400" w:lineRule="exact"/>
        <w:rPr>
          <w:color w:val="000000"/>
          <w:sz w:val="24"/>
        </w:rPr>
      </w:pPr>
      <w:r>
        <w:rPr>
          <w:color w:val="000000"/>
          <w:sz w:val="24"/>
        </w:rPr>
        <w:t xml:space="preserve">    4</w:t>
      </w:r>
      <w:r>
        <w:rPr>
          <w:rFonts w:hint="eastAsia"/>
          <w:color w:val="000000"/>
          <w:sz w:val="24"/>
        </w:rPr>
        <w:t>、提供的产品必须符合《食品安全法》、《食品安全法实施条例》、《餐饮服务食品安全监督管理办法》及国务院办公厅《关于严厉打击食品非法添加行为切实加强食品添加剂监管的通知》等及其他相关法律法规要求，并保证所供应的产品不存在非法添加和滥用食品添加剂及食品添加剂超标的行为。</w:t>
      </w:r>
    </w:p>
    <w:p/>
    <w:p>
      <w:pPr>
        <w:spacing w:line="341" w:lineRule="auto"/>
        <w:rPr>
          <w:b/>
          <w:color w:val="000000"/>
          <w:sz w:val="24"/>
        </w:rPr>
      </w:pPr>
      <w:r>
        <w:rPr>
          <w:b/>
          <w:color w:val="000000"/>
          <w:sz w:val="24"/>
        </w:rPr>
        <w:t>五、售后及服务</w:t>
      </w:r>
    </w:p>
    <w:p>
      <w:pPr>
        <w:spacing w:line="400" w:lineRule="exact"/>
        <w:ind w:firstLine="480" w:firstLineChars="200"/>
        <w:rPr>
          <w:sz w:val="24"/>
        </w:rPr>
      </w:pPr>
      <w:r>
        <w:rPr>
          <w:rFonts w:hint="eastAsia"/>
          <w:sz w:val="24"/>
        </w:rPr>
        <w:t>1、</w:t>
      </w:r>
      <w:r>
        <w:rPr>
          <w:sz w:val="24"/>
        </w:rPr>
        <w:t>能够准确提供本项目售后服务总负责人的姓名、职务、详细地址和联系方式。</w:t>
      </w:r>
    </w:p>
    <w:p>
      <w:pPr>
        <w:spacing w:line="400" w:lineRule="exact"/>
        <w:ind w:firstLine="480" w:firstLineChars="200"/>
        <w:rPr>
          <w:sz w:val="24"/>
        </w:rPr>
      </w:pPr>
      <w:r>
        <w:rPr>
          <w:rFonts w:hint="eastAsia"/>
          <w:sz w:val="24"/>
        </w:rPr>
        <w:t>2、</w:t>
      </w:r>
      <w:r>
        <w:rPr>
          <w:sz w:val="24"/>
        </w:rPr>
        <w:t>能够准确提供投标人在供货地点城市的本地化服务机构（及售后服务网点明细）及相关证明材料。</w:t>
      </w:r>
    </w:p>
    <w:p>
      <w:pPr>
        <w:spacing w:line="400" w:lineRule="exact"/>
        <w:ind w:firstLine="480" w:firstLineChars="200"/>
        <w:rPr>
          <w:sz w:val="24"/>
        </w:rPr>
      </w:pPr>
      <w:r>
        <w:rPr>
          <w:sz w:val="24"/>
        </w:rPr>
        <w:t>3、承诺所投货物在质保期内因产品质量问题投标供应商负责免费更换。</w:t>
      </w:r>
    </w:p>
    <w:p>
      <w:pPr>
        <w:spacing w:line="400" w:lineRule="exact"/>
        <w:ind w:firstLine="480" w:firstLineChars="200"/>
        <w:rPr>
          <w:sz w:val="24"/>
        </w:rPr>
      </w:pPr>
      <w:r>
        <w:rPr>
          <w:sz w:val="24"/>
        </w:rPr>
        <w:t>4、投标人须对采购货物六个月进行定期用户回访，及时处理用户意见。在质保期内投标人在接到售后服务电话后2小时内响应，8小时内到场解决。</w:t>
      </w:r>
    </w:p>
    <w:p>
      <w:pPr>
        <w:spacing w:line="400" w:lineRule="exact"/>
        <w:rPr>
          <w:sz w:val="24"/>
        </w:rPr>
      </w:pPr>
    </w:p>
    <w:p/>
    <w:p/>
    <w:p/>
    <w:sectPr>
      <w:pgSz w:w="11906" w:h="16838"/>
      <w:pgMar w:top="1440" w:right="1797" w:bottom="1134"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73FB1"/>
    <w:multiLevelType w:val="multilevel"/>
    <w:tmpl w:val="4F773FB1"/>
    <w:lvl w:ilvl="0" w:tentative="0">
      <w:start w:val="1"/>
      <w:numFmt w:val="japaneseCounting"/>
      <w:lvlText w:val="%1、"/>
      <w:lvlJc w:val="left"/>
      <w:pPr>
        <w:ind w:left="510" w:hanging="51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1669BE"/>
    <w:rsid w:val="00027A76"/>
    <w:rsid w:val="00047B88"/>
    <w:rsid w:val="000523B2"/>
    <w:rsid w:val="00091054"/>
    <w:rsid w:val="000B4E40"/>
    <w:rsid w:val="000B5AC5"/>
    <w:rsid w:val="000C25E4"/>
    <w:rsid w:val="000C35E1"/>
    <w:rsid w:val="000D4F1E"/>
    <w:rsid w:val="000D6C34"/>
    <w:rsid w:val="00105C73"/>
    <w:rsid w:val="001111C1"/>
    <w:rsid w:val="00114422"/>
    <w:rsid w:val="00145A26"/>
    <w:rsid w:val="001479C3"/>
    <w:rsid w:val="00150BAF"/>
    <w:rsid w:val="001544B2"/>
    <w:rsid w:val="00157B84"/>
    <w:rsid w:val="001669BE"/>
    <w:rsid w:val="001734F8"/>
    <w:rsid w:val="00205EDB"/>
    <w:rsid w:val="002122C8"/>
    <w:rsid w:val="00221106"/>
    <w:rsid w:val="00225E21"/>
    <w:rsid w:val="00246BB0"/>
    <w:rsid w:val="00265D0D"/>
    <w:rsid w:val="00296F92"/>
    <w:rsid w:val="002C7221"/>
    <w:rsid w:val="003408F1"/>
    <w:rsid w:val="00371A60"/>
    <w:rsid w:val="003E4C8B"/>
    <w:rsid w:val="00407586"/>
    <w:rsid w:val="00431CEE"/>
    <w:rsid w:val="00473F65"/>
    <w:rsid w:val="00474209"/>
    <w:rsid w:val="00496D9A"/>
    <w:rsid w:val="00532D0F"/>
    <w:rsid w:val="00577F00"/>
    <w:rsid w:val="00593FA2"/>
    <w:rsid w:val="005B13D0"/>
    <w:rsid w:val="005C2858"/>
    <w:rsid w:val="005F7D10"/>
    <w:rsid w:val="0061403A"/>
    <w:rsid w:val="00617B41"/>
    <w:rsid w:val="0062624B"/>
    <w:rsid w:val="006355A3"/>
    <w:rsid w:val="00660C2F"/>
    <w:rsid w:val="00666BB8"/>
    <w:rsid w:val="0067050C"/>
    <w:rsid w:val="00690F61"/>
    <w:rsid w:val="006E2106"/>
    <w:rsid w:val="006F3871"/>
    <w:rsid w:val="0071799D"/>
    <w:rsid w:val="00731264"/>
    <w:rsid w:val="00785B48"/>
    <w:rsid w:val="007A3EA6"/>
    <w:rsid w:val="007B62CF"/>
    <w:rsid w:val="007E6335"/>
    <w:rsid w:val="0080715C"/>
    <w:rsid w:val="00867AF7"/>
    <w:rsid w:val="008A0173"/>
    <w:rsid w:val="008A7494"/>
    <w:rsid w:val="008B68B5"/>
    <w:rsid w:val="008D4A65"/>
    <w:rsid w:val="008F70D6"/>
    <w:rsid w:val="00904F0F"/>
    <w:rsid w:val="00907FBC"/>
    <w:rsid w:val="009132F3"/>
    <w:rsid w:val="00930ACB"/>
    <w:rsid w:val="00971F43"/>
    <w:rsid w:val="00987059"/>
    <w:rsid w:val="009A0887"/>
    <w:rsid w:val="009D2B94"/>
    <w:rsid w:val="00A04DC3"/>
    <w:rsid w:val="00A1609D"/>
    <w:rsid w:val="00A40F66"/>
    <w:rsid w:val="00AE4D8C"/>
    <w:rsid w:val="00B1038C"/>
    <w:rsid w:val="00B209DC"/>
    <w:rsid w:val="00B9158A"/>
    <w:rsid w:val="00BA5164"/>
    <w:rsid w:val="00BD0C37"/>
    <w:rsid w:val="00BD6DAB"/>
    <w:rsid w:val="00BF50D0"/>
    <w:rsid w:val="00C320AE"/>
    <w:rsid w:val="00C3406C"/>
    <w:rsid w:val="00C34D28"/>
    <w:rsid w:val="00C464FE"/>
    <w:rsid w:val="00C95E3B"/>
    <w:rsid w:val="00CD4CFE"/>
    <w:rsid w:val="00CE406B"/>
    <w:rsid w:val="00D11144"/>
    <w:rsid w:val="00D11570"/>
    <w:rsid w:val="00D83180"/>
    <w:rsid w:val="00D95F82"/>
    <w:rsid w:val="00DF0468"/>
    <w:rsid w:val="00E10B28"/>
    <w:rsid w:val="00E160B5"/>
    <w:rsid w:val="00E17CFD"/>
    <w:rsid w:val="00E20297"/>
    <w:rsid w:val="00E24EB4"/>
    <w:rsid w:val="00E545BF"/>
    <w:rsid w:val="00E61B87"/>
    <w:rsid w:val="00E77008"/>
    <w:rsid w:val="00E92089"/>
    <w:rsid w:val="00EC536E"/>
    <w:rsid w:val="00EC7047"/>
    <w:rsid w:val="00F07DD9"/>
    <w:rsid w:val="00F2571C"/>
    <w:rsid w:val="00F42DC1"/>
    <w:rsid w:val="00F620E4"/>
    <w:rsid w:val="00F71A96"/>
    <w:rsid w:val="00F908D6"/>
    <w:rsid w:val="00F92D91"/>
    <w:rsid w:val="00F97583"/>
    <w:rsid w:val="00FB0AC2"/>
    <w:rsid w:val="00FB3E61"/>
    <w:rsid w:val="00FB5434"/>
    <w:rsid w:val="00FE36AD"/>
    <w:rsid w:val="05100A46"/>
    <w:rsid w:val="066372B1"/>
    <w:rsid w:val="083B2A3D"/>
    <w:rsid w:val="08A3442A"/>
    <w:rsid w:val="0E520B70"/>
    <w:rsid w:val="0E736AB7"/>
    <w:rsid w:val="101D5981"/>
    <w:rsid w:val="12B51513"/>
    <w:rsid w:val="1FA35499"/>
    <w:rsid w:val="20641545"/>
    <w:rsid w:val="27F73508"/>
    <w:rsid w:val="39FD5044"/>
    <w:rsid w:val="46513476"/>
    <w:rsid w:val="478455F7"/>
    <w:rsid w:val="490B77E1"/>
    <w:rsid w:val="54F66ABD"/>
    <w:rsid w:val="605C0BCC"/>
    <w:rsid w:val="655B7D94"/>
    <w:rsid w:val="6A335C95"/>
    <w:rsid w:val="6AF73674"/>
    <w:rsid w:val="7A116E6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1"/>
    <w:qFormat/>
    <w:uiPriority w:val="0"/>
    <w:pPr>
      <w:adjustRightInd w:val="0"/>
      <w:spacing w:line="360" w:lineRule="atLeast"/>
      <w:jc w:val="center"/>
      <w:textAlignment w:val="baseline"/>
    </w:pPr>
    <w:rPr>
      <w:kern w:val="0"/>
      <w:sz w:val="24"/>
      <w:szCs w:val="20"/>
    </w:rPr>
  </w:style>
  <w:style w:type="paragraph" w:styleId="3">
    <w:name w:val="Balloon Text"/>
    <w:basedOn w:val="1"/>
    <w:link w:val="12"/>
    <w:semiHidden/>
    <w:unhideWhenUsed/>
    <w:qFormat/>
    <w:uiPriority w:val="99"/>
    <w:rPr>
      <w:sz w:val="18"/>
      <w:szCs w:val="18"/>
    </w:rPr>
  </w:style>
  <w:style w:type="paragraph" w:styleId="4">
    <w:name w:val="footer"/>
    <w:basedOn w:val="1"/>
    <w:link w:val="9"/>
    <w:uiPriority w:val="99"/>
    <w:pPr>
      <w:tabs>
        <w:tab w:val="center" w:pos="4153"/>
        <w:tab w:val="right" w:pos="8306"/>
      </w:tabs>
      <w:snapToGrid w:val="0"/>
      <w:jc w:val="left"/>
    </w:pPr>
    <w:rPr>
      <w:rFonts w:ascii="Calibri" w:hAnsi="Calibri"/>
      <w:kern w:val="0"/>
      <w:sz w:val="18"/>
      <w:szCs w:val="18"/>
    </w:rPr>
  </w:style>
  <w:style w:type="paragraph" w:styleId="5">
    <w:name w:val="header"/>
    <w:basedOn w:val="1"/>
    <w:link w:val="8"/>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character" w:customStyle="1" w:styleId="8">
    <w:name w:val="页眉 Char"/>
    <w:link w:val="5"/>
    <w:qFormat/>
    <w:locked/>
    <w:uiPriority w:val="99"/>
    <w:rPr>
      <w:rFonts w:cs="Times New Roman"/>
      <w:sz w:val="18"/>
      <w:szCs w:val="18"/>
    </w:rPr>
  </w:style>
  <w:style w:type="character" w:customStyle="1" w:styleId="9">
    <w:name w:val="页脚 Char"/>
    <w:link w:val="4"/>
    <w:qFormat/>
    <w:locked/>
    <w:uiPriority w:val="99"/>
    <w:rPr>
      <w:rFonts w:cs="Times New Roman"/>
      <w:sz w:val="18"/>
      <w:szCs w:val="18"/>
    </w:rPr>
  </w:style>
  <w:style w:type="paragraph" w:customStyle="1" w:styleId="10">
    <w:name w:val="列出段落1"/>
    <w:basedOn w:val="1"/>
    <w:qFormat/>
    <w:uiPriority w:val="99"/>
    <w:pPr>
      <w:ind w:left="480" w:leftChars="200"/>
      <w:jc w:val="left"/>
    </w:pPr>
    <w:rPr>
      <w:rFonts w:ascii="Calibri" w:hAnsi="Calibri"/>
      <w:sz w:val="24"/>
      <w:szCs w:val="22"/>
      <w:lang w:eastAsia="zh-TW"/>
    </w:rPr>
  </w:style>
  <w:style w:type="paragraph" w:styleId="11">
    <w:name w:val="List Paragraph"/>
    <w:basedOn w:val="1"/>
    <w:qFormat/>
    <w:uiPriority w:val="99"/>
    <w:pPr>
      <w:ind w:firstLine="420" w:firstLineChars="200"/>
    </w:pPr>
  </w:style>
  <w:style w:type="character" w:customStyle="1" w:styleId="12">
    <w:name w:val="批注框文本 Char"/>
    <w:link w:val="3"/>
    <w:semiHidden/>
    <w:qFormat/>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1386</Words>
  <Characters>1280</Characters>
  <Lines>10</Lines>
  <Paragraphs>5</Paragraphs>
  <TotalTime>2</TotalTime>
  <ScaleCrop>false</ScaleCrop>
  <LinksUpToDate>false</LinksUpToDate>
  <CharactersWithSpaces>2661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2018-10-26T04:58:00Z</dcterms:created>
  <dc:creator>哈尔滨工业大学</dc:creator>
  <cp:lastModifiedBy>枫叶</cp:lastModifiedBy>
  <cp:lastPrinted>2018-10-26T08:32:00Z</cp:lastPrinted>
  <dcterms:modified xsi:type="dcterms:W3CDTF">2020-11-18T07:41:06Z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