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36"/>
        </w:rPr>
        <w:t>雷达抗干扰决策算法实验与结果分析</w:t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基于信号级 SINR 仿真 稠密 Oracle 与鲁棒性评估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本节围绕小样本条件下的雷达抗干扰动作推荐问题，介绍实验数据、参数设置、评价指标及主要实验结果。算法接收干扰类型、载频、带宽、功率及欺骗参数等结构化观测，输出雷达载频、带宽、脉宽、增益和波形类型等抗干扰动作，并以信号级仿真得到的 SINR 衡量推荐效果。</w:t>
      </w:r>
    </w:p>
    <w:p>
      <w:pPr>
        <w:pStyle w:val="Heading1"/>
      </w:pPr>
      <w:r>
        <w:t>1 实验任务与数据集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训练集与留出集均按干扰场景组织，同一场景内的多条记录共享干扰状态而对应不同雷达动作。训练标签为信号级仿真 SINR。为减少历史固定 50 场景评估带来的测试集适配风险，本节将后 450 个未进入历史主报告的留出场景作为配对统计的主报告对象。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数据集</w:t>
            </w:r>
          </w:p>
        </w:tc>
        <w:tc>
          <w:tcPr>
            <w:tcW w:type="dxa" w:w="197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场景数</w:t>
            </w:r>
          </w:p>
        </w:tc>
        <w:tc>
          <w:tcPr>
            <w:tcW w:type="dxa" w:w="197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每场景动作数</w:t>
            </w:r>
          </w:p>
        </w:tc>
        <w:tc>
          <w:tcPr>
            <w:tcW w:type="dxa" w:w="197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样本数</w:t>
            </w:r>
          </w:p>
        </w:tc>
        <w:tc>
          <w:tcPr>
            <w:tcW w:type="dxa" w:w="197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9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信号级训练集</w:t>
            </w:r>
          </w:p>
        </w:tc>
        <w:tc>
          <w:tcPr>
            <w:tcW w:type="dxa" w:w="19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5,000</w:t>
            </w:r>
          </w:p>
        </w:tc>
        <w:tc>
          <w:tcPr>
            <w:tcW w:type="dxa" w:w="19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</w:t>
            </w:r>
          </w:p>
        </w:tc>
        <w:tc>
          <w:tcPr>
            <w:tcW w:type="dxa" w:w="19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100,000</w:t>
            </w:r>
          </w:p>
        </w:tc>
        <w:tc>
          <w:tcPr>
            <w:tcW w:type="dxa" w:w="19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训练与检索库</w:t>
            </w:r>
          </w:p>
        </w:tc>
      </w:tr>
      <w:tr>
        <w:tc>
          <w:tcPr>
            <w:tcW w:type="dxa" w:w="197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完整留出集</w:t>
            </w:r>
          </w:p>
        </w:tc>
        <w:tc>
          <w:tcPr>
            <w:tcW w:type="dxa" w:w="197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500</w:t>
            </w:r>
          </w:p>
        </w:tc>
        <w:tc>
          <w:tcPr>
            <w:tcW w:type="dxa" w:w="197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197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5,000</w:t>
            </w:r>
          </w:p>
        </w:tc>
        <w:tc>
          <w:tcPr>
            <w:tcW w:type="dxa" w:w="197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泛化评估</w:t>
            </w:r>
          </w:p>
        </w:tc>
      </w:tr>
      <w:tr>
        <w:tc>
          <w:tcPr>
            <w:tcW w:type="dxa" w:w="19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新主统计集</w:t>
            </w:r>
          </w:p>
        </w:tc>
        <w:tc>
          <w:tcPr>
            <w:tcW w:type="dxa" w:w="19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450</w:t>
            </w:r>
          </w:p>
        </w:tc>
        <w:tc>
          <w:tcPr>
            <w:tcW w:type="dxa" w:w="19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19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4,500</w:t>
            </w:r>
          </w:p>
        </w:tc>
        <w:tc>
          <w:tcPr>
            <w:tcW w:type="dxa" w:w="19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配对统计检验</w:t>
            </w:r>
          </w:p>
        </w:tc>
      </w:tr>
      <w:tr>
        <w:tc>
          <w:tcPr>
            <w:tcW w:type="dxa" w:w="197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稠密 Oracle 集</w:t>
            </w:r>
          </w:p>
        </w:tc>
        <w:tc>
          <w:tcPr>
            <w:tcW w:type="dxa" w:w="197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250</w:t>
            </w:r>
          </w:p>
        </w:tc>
        <w:tc>
          <w:tcPr>
            <w:tcW w:type="dxa" w:w="197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动态搜索</w:t>
            </w:r>
          </w:p>
        </w:tc>
        <w:tc>
          <w:tcPr>
            <w:tcW w:type="dxa" w:w="197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</w:t>
            </w:r>
          </w:p>
        </w:tc>
        <w:tc>
          <w:tcPr>
            <w:tcW w:type="dxa" w:w="197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绝对真 regret</w:t>
            </w:r>
          </w:p>
        </w:tc>
      </w:tr>
    </w:tbl>
    <w:p/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留出集包含宽带压制、近距离压制、窄带压制、随机、扫频、间歇采样和多假目标共 7 类干扰；各类场景数为 65 至 78 个，类别分布相对均衡。</w:t>
      </w:r>
    </w:p>
    <w:p>
      <w:pPr>
        <w:pStyle w:val="Heading1"/>
      </w:pPr>
      <w:r>
        <w:t>2 实验设置与评价指标</w:t>
      </w:r>
    </w:p>
    <w:p>
      <w:pPr>
        <w:pStyle w:val="Heading2"/>
      </w:pPr>
      <w:r>
        <w:t>2.1 比较方法与参数设置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比较方法包括 Random、Q-only、Retrieve+Q、Retrieve+Q-Union、Q-Ensemble-Mean 及 Q-Ensemble 悲观打分。Retrieve+Q 在状态潜空间搜索相似训练场景，再从其历史动作中选择 Q 值最大的动作；Union 在检索动作基础上加入随机探索动作，使策略同时利用经验先验与动作覆盖。Q-Ensemble 由 5 个不同随机种子训练的 Q 网络组成，分别以预测均值 μ 或悲观得分 μ-λσ 进行候选排序。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参数项</w:t>
            </w:r>
          </w:p>
        </w:tc>
        <w:tc>
          <w:tcPr>
            <w:tcW w:type="dxa" w:w="493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设置</w:t>
            </w:r>
          </w:p>
        </w:tc>
      </w:tr>
      <w:tr>
        <w:tc>
          <w:tcPr>
            <w:tcW w:type="dxa" w:w="49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训练场景数</w:t>
            </w:r>
          </w:p>
        </w:tc>
        <w:tc>
          <w:tcPr>
            <w:tcW w:type="dxa" w:w="49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5,000</w:t>
            </w:r>
          </w:p>
        </w:tc>
      </w:tr>
      <w:tr>
        <w:tc>
          <w:tcPr>
            <w:tcW w:type="dxa" w:w="4939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每训练场景动作数</w:t>
            </w:r>
          </w:p>
        </w:tc>
        <w:tc>
          <w:tcPr>
            <w:tcW w:type="dxa" w:w="4939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</w:t>
            </w:r>
          </w:p>
        </w:tc>
      </w:tr>
      <w:tr>
        <w:tc>
          <w:tcPr>
            <w:tcW w:type="dxa" w:w="49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留出场景数</w:t>
            </w:r>
          </w:p>
        </w:tc>
        <w:tc>
          <w:tcPr>
            <w:tcW w:type="dxa" w:w="49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500，主统计为后 450</w:t>
            </w:r>
          </w:p>
        </w:tc>
      </w:tr>
      <w:tr>
        <w:tc>
          <w:tcPr>
            <w:tcW w:type="dxa" w:w="4939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检索 Top-K</w:t>
            </w:r>
          </w:p>
        </w:tc>
        <w:tc>
          <w:tcPr>
            <w:tcW w:type="dxa" w:w="4939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默认 5，扫描 1、3、5、10、20</w:t>
            </w:r>
          </w:p>
        </w:tc>
      </w:tr>
      <w:tr>
        <w:tc>
          <w:tcPr>
            <w:tcW w:type="dxa" w:w="49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随机候选数</w:t>
            </w:r>
          </w:p>
        </w:tc>
        <w:tc>
          <w:tcPr>
            <w:tcW w:type="dxa" w:w="49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默认 100，扫描 5、20、50、100、500</w:t>
            </w:r>
          </w:p>
        </w:tc>
      </w:tr>
      <w:tr>
        <w:tc>
          <w:tcPr>
            <w:tcW w:type="dxa" w:w="4939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Ensemble 成员数</w:t>
            </w:r>
          </w:p>
        </w:tc>
        <w:tc>
          <w:tcPr>
            <w:tcW w:type="dxa" w:w="4939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</w:tr>
      <w:tr>
        <w:tc>
          <w:tcPr>
            <w:tcW w:type="dxa" w:w="49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悲观系数 λ</w:t>
            </w:r>
          </w:p>
        </w:tc>
        <w:tc>
          <w:tcPr>
            <w:tcW w:type="dxa" w:w="493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默认 1.0，扫描 0 至 3.0</w:t>
            </w:r>
          </w:p>
        </w:tc>
      </w:tr>
      <w:tr>
        <w:tc>
          <w:tcPr>
            <w:tcW w:type="dxa" w:w="4939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JSR</w:t>
            </w:r>
          </w:p>
        </w:tc>
        <w:tc>
          <w:tcPr>
            <w:tcW w:type="dxa" w:w="4939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默认 10 dB，测试范围 0 至 20 dB</w:t>
            </w:r>
          </w:p>
        </w:tc>
      </w:tr>
    </w:tbl>
    <w:p/>
    <w:p>
      <w:pPr>
        <w:pStyle w:val="Heading2"/>
      </w:pPr>
      <w:r>
        <w:t>2.2 指标与统计检验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历史兼容指标为 regret vs Oracle-K10，即留出场景中 10 个随机动作的最大 SINR 减去推荐动作 SINR；负值表示推荐动作超过 K10 弱参照。为构造绝对指标，对 250 个新场景逐场景随机采样 5,000 个动作并进行坐标细化，将所得最高 SINR 作为稠密近似 Oracle，进而计算真 regret。该 Oracle 为真最优的下界，因此真 regret 为真实 regret 的上界。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统计检验采用逐场景配对比较，报告均值、中位数、p90、p95 和 CVaR-10%。均值差异使用 10,000 次 bootstrap、100,000 次符号置换检验与 Wilcoxon 检验，并采用 Holm 校正处理多重比较。</w:t>
      </w:r>
    </w:p>
    <w:p>
      <w:pPr>
        <w:pStyle w:val="Heading1"/>
      </w:pPr>
      <w:r>
        <w:t>3 主结果与统计分析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均值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中位数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p90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p95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CVaR-10%</w:t>
            </w:r>
          </w:p>
        </w:tc>
      </w:tr>
      <w:tr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Q-only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4.24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1.88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18.64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24.49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25.43</w:t>
            </w:r>
          </w:p>
        </w:tc>
      </w:tr>
      <w:tr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Retrieve+Q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-3.58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-2.35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0.84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3.74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5.30</w:t>
            </w:r>
          </w:p>
        </w:tc>
      </w:tr>
      <w:tr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Retrieve+Q-Union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-4.08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-2.64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0.33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2.73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4.74</w:t>
            </w:r>
          </w:p>
        </w:tc>
      </w:tr>
      <w:tr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Ensemble-Mean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-4.25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-2.64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0.29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1.92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3.48</w:t>
            </w:r>
          </w:p>
        </w:tc>
      </w:tr>
      <w:tr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Ensemble 悲观 λ=1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-4.24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-2.68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0.30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1.92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3.49</w:t>
            </w:r>
          </w:p>
        </w:tc>
      </w:tr>
    </w:tbl>
    <w:p/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上表为后 450 个新场景的 regret vs Oracle-K10，数值越小越好。Q-only 的平均 regret 为 4.24 dB；引入检索后，Retrieve+Q 降至 -3.58 dB；将检索池与随机候选池合并后，Union 进一步降至 -4.08 dB，说明检索经验与探索候选具有互补性。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Ensemble-Mean 的均值为 -4.25 dB，p95 为 1.92 dB，优于 Union 的 -4.08 dB 与 2.73 dB。与此同时，相对 Union 的平均 SINR 提升为 0.17 dB，95% bootstrap 区间为 [-0.09, 0.46] dB，Holm 校正后的置换检验 p=0.698。故应将 Ensemble 的作用界定为降低尾部风险，而非平均性能的显著提升。</w:t>
      </w:r>
    </w:p>
    <w:p>
      <w:r>
        <w:br w:type="page"/>
      </w:r>
    </w:p>
    <w:p>
      <w:pPr>
        <w:pStyle w:val="Heading1"/>
      </w:pPr>
      <w:r>
        <w:t>4 稠密 Oracle 下的绝对性能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平均真 regret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中位数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p90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p95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CVaR-10%</w:t>
            </w:r>
          </w:p>
        </w:tc>
      </w:tr>
      <w:tr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Q-only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12.36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6.99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30.87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33.99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35.63</w:t>
            </w:r>
          </w:p>
        </w:tc>
      </w:tr>
      <w:tr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Retrieve+Q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4.92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2.31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13.73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20.44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21.55</w:t>
            </w:r>
          </w:p>
        </w:tc>
      </w:tr>
      <w:tr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Retrieve+Q-Union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4.52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1.75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13.52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19.92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21.16</w:t>
            </w:r>
          </w:p>
        </w:tc>
      </w:tr>
      <w:tr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Ensemble-Mean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4.38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1.72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12.71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19.66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19.79</w:t>
            </w:r>
          </w:p>
        </w:tc>
      </w:tr>
      <w:tr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Ensemble 悲观 λ=1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4.52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1.72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13.60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19.66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20.24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092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ue_regr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92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1 250 个新场景上的平均真 regret 比较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稠密搜索共调用 940,761 次仿真，耗时约 66.5 分钟。稠密 Oracle 的平均 SINR 为 25.06 dB，而同一批场景 K10 弱参照的均值仅为 18.25 dB，表明有限随机候选会明显低估部分场景的优化空间。Ensemble-Mean 的平均真 regret 为 4.38 dB，为比较方法中的最低值；Union 为 4.52 dB。两者绝对差距较小，与配对统计检验结论一致。</w:t>
      </w:r>
    </w:p>
    <w:p>
      <w:pPr>
        <w:pStyle w:val="Heading1"/>
      </w:pPr>
      <w:r>
        <w:t>5 候选机制消融与跨条件测试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候选动作覆盖是当前性能的关键因素。Top-K 从 5 增至 20 后，后 450 场景的平均 regret 从 -4.24 dB 改善至 -4.77 dB；随机候选数由 100 增至 500 后，平均 regret 进一步改善至 -5.01 dB，p95 降至 0.85 dB。这说明现有系统的主要改进空间在于候选池覆盖，而非继续增加网络结构复杂度。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4368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ndidate_swee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6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2 检索深度和随机候选池规模的消融结果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悲观系数扫描中，λ=0.5 的平均 regret 最低，为 -4.27 dB；λ 在 0 至 1 时差异较小，而 λ 大于 1.5 后性能逐步退化。因此，不确定性惩罚宜作为弱约束使用。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811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js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1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3 冻结策略在不同 JSR 条件下的性能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在 JSR=0 至 20 dB 的跨条件测试中，平均 regret 保持在 -4.29 至 -4.17 dB；p95 regret 由 1.74 dB 上升到 2.17 dB。该结果表明冻结策略具有一定跨干扰强度稳定性，但不等同于多 JSR 联合训练的泛化结论。</w:t>
      </w:r>
    </w:p>
    <w:p>
      <w:r>
        <w:br w:type="page"/>
      </w:r>
    </w:p>
    <w:p>
      <w:pPr>
        <w:pStyle w:val="Heading1"/>
      </w:pPr>
      <w:r>
        <w:t>6 鲁棒性实验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鲁棒性实验在全部 5,000 个训练场景上实施。对干扰载频、增益、带宽、扫频步进、间歇采样时长与延迟、假目标数等激活参数施加扰动，每个半径采用 20 个随机方向并加入逐坐标边界搜索，以近似最坏情况。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扰动半径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平均最坏退化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中位数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p95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CVaR-10%</w:t>
            </w:r>
          </w:p>
        </w:tc>
        <w:tc>
          <w:tcPr>
            <w:tcW w:type="dxa" w:w="1646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7"/>
              </w:rPr>
              <w:t>动作翻转率</w:t>
            </w:r>
          </w:p>
        </w:tc>
      </w:tr>
      <w:tr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2%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0.48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0.15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2.06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2.71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39.9%</w:t>
            </w:r>
          </w:p>
        </w:tc>
      </w:tr>
      <w:tr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5%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1.17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0.38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5.29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6.79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51.9%</w:t>
            </w:r>
          </w:p>
        </w:tc>
      </w:tr>
      <w:tr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10%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1.83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0.78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8.18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8.85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57.0%</w:t>
            </w:r>
          </w:p>
        </w:tc>
      </w:tr>
      <w:tr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15%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2.26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1.17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9.33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9.54</w:t>
            </w:r>
          </w:p>
        </w:tc>
        <w:tc>
          <w:tcPr>
            <w:tcW w:type="dxa" w:w="1646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59.8%</w:t>
            </w:r>
          </w:p>
        </w:tc>
      </w:tr>
      <w:tr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20%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2.59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1.55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9.89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9.85</w:t>
            </w:r>
          </w:p>
        </w:tc>
        <w:tc>
          <w:tcPr>
            <w:tcW w:type="dxa" w:w="164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62.4%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9523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bustn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52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18"/>
        </w:rPr>
        <w:t>图 4 干扰参数扰动下的最坏情况退化与决策翻转风险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在 10% 扰动半径下，平均最坏退化为 1.83 dB，p95 为 8.18 dB，57.0%的场景在至少一个扰动方向上出现最优动作翻转；20% 扰动下翻转率升至 62.4%。因此，鲁棒性不能仅依据随机扰动均值判断，后续应以最坏情况 regret、CVaR 或风险敏感目标训练鲁棒策略。</w:t>
      </w:r>
    </w:p>
    <w:p>
      <w:pPr>
        <w:pStyle w:val="Heading1"/>
      </w:pPr>
      <w:r>
        <w:t>7 小结</w:t>
      </w:r>
    </w:p>
    <w:p>
      <w:pPr>
        <w:spacing w:line="324" w:lineRule="auto" w:after="120"/>
        <w:ind w:firstLine="480"/>
      </w:pPr>
      <w:r>
        <w:rPr>
          <w:rFonts w:ascii="Times New Roman" w:hAnsi="Times New Roman" w:eastAsia="宋体"/>
          <w:b w:val="0"/>
          <w:sz w:val="21"/>
        </w:rPr>
        <w:t>实验验证了检索先验与随机探索候选并集的有效性，并将历史 50 场景评估扩展至 500 场景。稠密 Oracle 结果显示，当前方法距近似最优仍有约 4.4 dB 的平均差距，特别是在间歇采样、随机和多假目标等局部结构复杂的干扰场景中存在进一步优化空间。若不立即重训，推荐将推理配置调整为 Top-K=20、随机候选数=500，并采用 Ensemble-Mean 或弱悲观 λ≈0.5。正式替换默认配置前，应在封存的独立最终测试集上复核。</w:t>
      </w:r>
    </w:p>
    <w:sectPr w:rsidR="00FC693F" w:rsidRPr="0006063C" w:rsidSect="00034616">
      <w:footerReference w:type="default" r:id="rId13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6"/>
      </w:rPr>
      <w:t>雷达抗干扰项目 实验部分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