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/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脂肪酸值测定记录</w:t>
      </w:r>
    </w:p>
    <w:p>
      <w:pPr>
        <w:tabs>
          <w:tab w:val="left" w:pos="3564"/>
        </w:tabs>
        <w:spacing w:line="520" w:lineRule="exact"/>
        <w:ind w:right="420" w:firstLine="3570" w:firstLineChars="170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仿宋_GB2312" w:eastAsia="仿宋_GB2312"/>
          <w:color w:val="FF0000"/>
          <w:szCs w:val="21"/>
          <w:lang w:val="en-US" w:eastAsia="zh-CN"/>
        </w:rPr>
        <w:tab/>
      </w:r>
      <w:r>
        <w:rPr>
          <w:rFonts w:hint="eastAsia" w:ascii="仿宋_GB2312" w:eastAsia="仿宋_GB2312"/>
          <w:color w:val="FF0000"/>
          <w:szCs w:val="21"/>
          <w:lang w:val="en-US" w:eastAsia="zh-CN"/>
        </w:rPr>
        <w:t xml:space="preserve">                     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${zf_table_version}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</w:p>
    <w:tbl>
      <w:tblPr>
        <w:tblStyle w:val="6"/>
        <w:tblW w:w="9225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78"/>
        <w:gridCol w:w="1722"/>
        <w:gridCol w:w="1539"/>
        <w:gridCol w:w="1064"/>
        <w:gridCol w:w="672"/>
        <w:gridCol w:w="742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1212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  期</w:t>
            </w:r>
          </w:p>
        </w:tc>
        <w:tc>
          <w:tcPr>
            <w:tcW w:w="137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358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${riqi}</w:t>
            </w:r>
          </w:p>
        </w:tc>
        <w:tc>
          <w:tcPr>
            <w:tcW w:w="172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室温（℃）</w:t>
            </w:r>
          </w:p>
        </w:tc>
        <w:tc>
          <w:tcPr>
            <w:tcW w:w="153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${shiwen}</w:t>
            </w:r>
          </w:p>
        </w:tc>
        <w:tc>
          <w:tcPr>
            <w:tcW w:w="106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（%）</w:t>
            </w:r>
          </w:p>
        </w:tc>
        <w:tc>
          <w:tcPr>
            <w:tcW w:w="67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${xiangduishidu}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地点</w:t>
            </w:r>
          </w:p>
        </w:tc>
        <w:tc>
          <w:tcPr>
            <w:tcW w:w="89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样品编号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${sampleNum}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样品名称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检测方法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12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仪器设备</w:t>
            </w:r>
          </w:p>
        </w:tc>
        <w:tc>
          <w:tcPr>
            <w:tcW w:w="1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  称</w:t>
            </w:r>
          </w:p>
        </w:tc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15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${yiqishebei_mingcheng_2}</w:t>
            </w:r>
          </w:p>
        </w:tc>
        <w:tc>
          <w:tcPr>
            <w:tcW w:w="173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12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  号</w:t>
            </w:r>
          </w:p>
        </w:tc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15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221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${yiqishebei_mingcheng_2}</w:t>
            </w:r>
          </w:p>
        </w:tc>
        <w:tc>
          <w:tcPr>
            <w:tcW w:w="173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检测编号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37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试样质量m（g）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${shiyangzhiliang_1}</w:t>
            </w:r>
          </w:p>
        </w:tc>
        <w:tc>
          <w:tcPr>
            <w:tcW w:w="337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试样水分W（%）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518"/>
              </w:tabs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shiyangshuifen}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KOH溶液浓度c（mol/L)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555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${koh_rongyenongdu}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滴定终点读数V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（mL）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${didingzhongdiandushu_1}</w:t>
            </w:r>
          </w:p>
        </w:tc>
        <w:tc>
          <w:tcPr>
            <w:tcW w:w="337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${didingzhongdiandushu_2}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滴定起始读数V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（mL）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${didingqishidushu_1}</w:t>
            </w:r>
          </w:p>
        </w:tc>
        <w:tc>
          <w:tcPr>
            <w:tcW w:w="337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919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${didingqishidushu_2}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KOH溶液用量V（mL）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${koh_rongyeyongliang_1}</w:t>
            </w:r>
          </w:p>
        </w:tc>
        <w:tc>
          <w:tcPr>
            <w:tcW w:w="337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${koh_rongyeyongliang_2}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空白试验KOH用量V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（mL）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1618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${kongbaishiyan_koh_yongliang}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计算公式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3269"/>
                <w:tab w:val="left" w:pos="4980"/>
              </w:tabs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64770</wp:posOffset>
                      </wp:positionV>
                      <wp:extent cx="550545" cy="280035"/>
                      <wp:effectExtent l="0" t="0" r="0" b="0"/>
                      <wp:wrapNone/>
                      <wp:docPr id="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054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×100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194.55pt;margin-top:5.1pt;height:22.05pt;width:43.35pt;z-index:251677696;mso-width-relative:page;mso-height-relative:page;" filled="f" stroked="f" coordsize="21600,21600" o:gfxdata="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m8+cc1wAAAAkBAAAPAAAAAAAAAAEAIAAAACIAAABkcnMv&#10;ZG93bnJldi54bWxQSwECFAAUAAAACACHTuJA2UEx15IBAAAVAwAADgAAAAAAAAABACAAAAAm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×100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40005</wp:posOffset>
                      </wp:positionV>
                      <wp:extent cx="1714500" cy="353695"/>
                      <wp:effectExtent l="0" t="0" r="0" b="0"/>
                      <wp:wrapNone/>
                      <wp:docPr id="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353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left"/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（V-V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）×c×56.1×</w:t>
                                  </w:r>
                                  <w:r>
                                    <w:rPr>
                                      <w:rFonts w:ascii="仿宋_GB2312" w:eastAsia="仿宋_GB2312"/>
                                      <w:position w:val="-20"/>
                                      <w:szCs w:val="21"/>
                                    </w:rPr>
                                    <w:object>
                                      <v:shape id="_x0000_i1025" o:spt="75" type="#_x0000_t75" style="height:25.9pt;width:17.95pt;" o:ole="t" filled="f" o:preferrelative="t" stroked="f" coordsize="21600,21600">
                                        <v:path/>
                                        <v:fill on="f" focussize="0,0"/>
                                        <v:stroke on="f"/>
                                        <v:imagedata r:id="rId5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25" DrawAspect="Content" ObjectID="_1468075725" r:id="rId4">
                                        <o:LockedField>false</o:LockedField>
                                      </o:OLEObject>
                                    </w:objec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27.15pt;margin-top:3.15pt;height:27.85pt;width:135pt;z-index:251676672;mso-width-relative:page;mso-height-relative:page;" filled="f" stroked="f" coordsize="21600,21600" o:gfxdata="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2Yx1Q0wAAAAcBAAAPAAAAAAAAAAEAIAAAACIAAABkcnMvZG93&#10;bnJldi54bWxQSwECFAAUAAAACACHTuJAcQoWkJMBAAAWAwAADgAAAAAAAAABACAAAAAi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left"/>
                            </w:pP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（V-V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）×c×56.1×</w:t>
                            </w:r>
                            <w:r>
                              <w:rPr>
                                <w:rFonts w:ascii="仿宋_GB2312" w:eastAsia="仿宋_GB2312"/>
                                <w:position w:val="-20"/>
                                <w:szCs w:val="21"/>
                              </w:rPr>
                              <w:object>
                                <v:shape id="_x0000_i1025" o:spt="75" type="#_x0000_t75" style="height:25.9pt;width:17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5" DrawAspect="Content" ObjectID="_1468075726" r:id="rId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position w:val="-24"/>
                <w:sz w:val="21"/>
                <w:szCs w:val="21"/>
              </w:rPr>
              <w:object>
                <v:shape id="_x0000_i1026" o:spt="75" type="#_x0000_t75" style="height:27pt;width:49.9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6" DrawAspect="Content" ObjectID="_1468075727" r:id="rId7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pacing w:val="-1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14"/>
                <w:sz w:val="21"/>
                <w:szCs w:val="21"/>
              </w:rPr>
              <w:t>脂肪酸值（mgKOH/100g干基）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${zhifangsuanzhi_1}</w:t>
            </w:r>
          </w:p>
        </w:tc>
        <w:tc>
          <w:tcPr>
            <w:tcW w:w="337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${zhifangsuanzhi_2}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平均值（mgKOH/100g干基）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1555"/>
              </w:tabs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□平行差  □相对差（%）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${pingxingcha_xiangduicha}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${pingxingcha_xiangduicha_zhi}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    注</w:t>
            </w:r>
          </w:p>
        </w:tc>
        <w:tc>
          <w:tcPr>
            <w:tcW w:w="663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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${beizhu}</w:t>
            </w:r>
          </w:p>
        </w:tc>
      </w:tr>
    </w:tbl>
    <w:p>
      <w:pPr>
        <w:rPr>
          <w:rFonts w:hint="eastAsia" w:ascii="仿宋_GB2312" w:eastAsia="仿宋_GB2312"/>
          <w:szCs w:val="21"/>
          <w:lang w:val="en-US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检  测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${jiance}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                                 校  核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${jiaohe}</w:t>
      </w:r>
    </w:p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C1C5223"/>
    <w:rsid w:val="0C2D3376"/>
    <w:rsid w:val="0CFF0A09"/>
    <w:rsid w:val="0EF35B73"/>
    <w:rsid w:val="119F3FBC"/>
    <w:rsid w:val="12325EFB"/>
    <w:rsid w:val="12430A41"/>
    <w:rsid w:val="1A1D5691"/>
    <w:rsid w:val="1E2217F2"/>
    <w:rsid w:val="22093067"/>
    <w:rsid w:val="23005475"/>
    <w:rsid w:val="235F5B39"/>
    <w:rsid w:val="28033D6F"/>
    <w:rsid w:val="330B7D1A"/>
    <w:rsid w:val="36144FC9"/>
    <w:rsid w:val="386007EE"/>
    <w:rsid w:val="3AD32505"/>
    <w:rsid w:val="47CD27C3"/>
    <w:rsid w:val="51023793"/>
    <w:rsid w:val="5B49151C"/>
    <w:rsid w:val="5E9C71C5"/>
    <w:rsid w:val="60BA21F5"/>
    <w:rsid w:val="640264C5"/>
    <w:rsid w:val="69027390"/>
    <w:rsid w:val="69655E7A"/>
    <w:rsid w:val="6D0A2C90"/>
    <w:rsid w:val="6FED51EA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12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2018-09-30T03:33:54Z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