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«Семафоры»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и применить в работе семафоры в ОС Линукс.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Вариант индивидуального задания № 13</w:t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rPr/>
      </w:pPr>
      <w:bookmarkStart w:colFirst="0" w:colLast="0" w:name="_heading=h.gs3oyw2eugqf" w:id="1"/>
      <w:bookmarkEnd w:id="1"/>
      <w:r w:rsidDel="00000000" w:rsidR="00000000" w:rsidRPr="00000000">
        <w:rPr>
          <w:rtl w:val="0"/>
        </w:rPr>
        <w:t xml:space="preserve">Первый процесс в цикле ожидает ввода символа с потока stdin, после чего пишет в файл соответствующий символ, каждый раз открывая и закрывая за собой файл. Второй процесс забирает из файла символы и выводит на экран только гласные буквы.</w:t>
      </w:r>
    </w:p>
    <w:p w:rsidR="00000000" w:rsidDel="00000000" w:rsidP="00000000" w:rsidRDefault="00000000" w:rsidRPr="00000000" w14:paraId="00000032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&lt;stdlib.h&gt;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&lt;fcntl.h&gt;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&lt;pthread.h&gt;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&lt;string.h&gt;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pthread_mutex_t mutex;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pthread_mutex_init(&amp;mutex, NULL);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pid_t pid = fork();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switch (pid) {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case -1: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printf("Error doing fork()");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case 0: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child();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break;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default: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parent();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break;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parent()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while (1) {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char chr;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if (!read(0, &amp;chr, 1)) {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continue;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pthread_mutex_lock(&amp;mutex);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//critical section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int fd;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if ((fd = open("file.tmp", O_CREAT | O_RDWR, 0666)) &lt; 0) {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perror("Error opening file!");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exit(-1);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write(fd, &amp;chr, 1);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close(fd);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//critical section end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pthread_mutex_unlock(&amp;mutex);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child()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vowels[12] = "AEIOUYaeiouy";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while (1) {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char chr;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pthread_mutex_lock(&amp;mutex);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//critical section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int fd;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if ((fd = open("file.tmp", O_CREAT | O_RDWR, 0666)) &lt; 0) {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perror("Error opening file!");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exit(-1);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read(fd, &amp;chr, 1);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close(fd);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//critical section end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pthread_mutex_unlock(&amp;mutex);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if (strchr(vowels, chr) != NULL) {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write(1, &amp;chr, 1);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chr = '\n';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write(1, &amp;chr, 1);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tabs>
          <w:tab w:val="left" w:pos="1344"/>
        </w:tabs>
        <w:spacing w:line="240" w:lineRule="auto"/>
        <w:ind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qwertyuiopasdfghjkl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color w:val="000000"/>
          <w:rtl w:val="0"/>
        </w:rPr>
        <w:t xml:space="preserve"> семафоры и мьютексы яв</w:t>
      </w:r>
      <w:r w:rsidDel="00000000" w:rsidR="00000000" w:rsidRPr="00000000">
        <w:rPr>
          <w:rtl w:val="0"/>
        </w:rPr>
        <w:t xml:space="preserve">ляются довольно удобным инструментом для разграничения работы с критическими секциями.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5ENOrNgeZK5GX3Zb9/1fcC6eMg==">AMUW2mW3LMOCYvY8LVYalb1iO+SGNRbh4AJ6QI41UxXVgjPKd7SUnT0bXOKvgpffaChmBlkn+xiUkAkYSe+VQ3MWG+Eb5sqvLssJwBnyLrZlcgeTa9Vt61K3fHuWe9hkKNJsGJevOmKhs+4Ad+p/wPpd0rKbQ+BKVA==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