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line="259" w:lineRule="auto" w:after="100"/>
        <w:jc w:val="center"/>
      </w:pPr>
      <w:r>
        <w:rPr>
          <w:b/>
          <w:color w:val="195F78"/>
          <w:sz w:val="24"/>
        </w:rPr>
        <w:t>INVESTIGACIÓN</w:t>
      </w:r>
    </w:p>
    <w:p>
      <w:pPr>
        <w:pStyle w:val="Title"/>
        <w:jc w:val="center"/>
      </w:pPr>
      <w:r>
        <w:t>Sistema Web con Fuentes</w:t>
        <w:br/>
        <w:t>OSINT de Costa Rica</w:t>
      </w:r>
    </w:p>
    <w:p>
      <w:pPr>
        <w:spacing w:line="259" w:lineRule="auto" w:after="100"/>
        <w:jc w:val="center"/>
      </w:pPr>
      <w:r>
        <w:rPr>
          <w:i/>
          <w:color w:val="505050"/>
          <w:sz w:val="26"/>
        </w:rPr>
        <w:t>Integración de datos abiertos y fuentes públicas consumibles desde software</w:t>
      </w:r>
    </w:p>
    <w:tbl>
      <w:tblPr>
        <w:tblW w:type="auto" w:w="0"/>
        <w:jc w:val="center"/>
        <w:tblLayout w:type="fixed"/>
        <w:tblLook w:firstColumn="1" w:firstRow="1" w:lastColumn="0" w:lastRow="0" w:noHBand="0" w:noVBand="1" w:val="04A0"/>
      </w:tblPr>
      <w:tblGrid>
        <w:gridCol w:w="9936"/>
      </w:tblGrid>
      <w:tr>
        <w:tc>
          <w:tcPr>
            <w:tcW w:type="dxa" w:w="3312"/>
            <w:shd w:fill="0F3E57"/>
            <w:tcMar>
              <w:top w:w="180" w:type="dxa"/>
              <w:start w:w="220" w:type="dxa"/>
              <w:bottom w:w="180" w:type="dxa"/>
              <w:end w:w="220" w:type="dxa"/>
            </w:tcMar>
          </w:tcPr>
          <w:p>
            <w:pPr>
              <w:jc w:val="center"/>
            </w:pPr>
            <w:r>
              <w:rPr>
                <w:b/>
                <w:color w:val="FFFFFF"/>
                <w:sz w:val="32"/>
              </w:rPr>
              <w:t>VALOR: 5%</w:t>
            </w:r>
          </w:p>
        </w:tc>
      </w:tr>
    </w:tbl>
    <w:p>
      <w:pPr>
        <w:spacing w:line="259" w:lineRule="auto" w:after="100"/>
      </w:pPr>
    </w:p>
    <w:tbl>
      <w:tblPr>
        <w:tblW w:type="auto" w:w="0"/>
        <w:jc w:val="center"/>
        <w:tblLayout w:type="fixed"/>
        <w:tblLook w:firstColumn="1" w:firstRow="1" w:lastColumn="0" w:lastRow="0" w:noHBand="0" w:noVBand="1" w:val="04A0"/>
      </w:tblPr>
      <w:tblGrid>
        <w:gridCol w:w="9936"/>
      </w:tblGrid>
      <w:tr>
        <w:tc>
          <w:tcPr>
            <w:tcW w:type="dxa" w:w="9936"/>
            <w:shd w:fill="EAF4F8"/>
            <w:tcMar>
              <w:top w:w="180" w:type="dxa"/>
              <w:start w:w="220" w:type="dxa"/>
              <w:bottom w:w="180" w:type="dxa"/>
              <w:end w:w="220" w:type="dxa"/>
            </w:tcMar>
          </w:tcPr>
          <w:p>
            <w:pPr>
              <w:jc w:val="center"/>
            </w:pPr>
            <w:r>
              <w:rPr>
                <w:b/>
                <w:color w:val="0F3E57"/>
                <w:sz w:val="23"/>
              </w:rPr>
              <w:t>Reto: convertir datos públicos dispersos en una capacidad útil dentro de una aplicación web.</w:t>
            </w:r>
          </w:p>
        </w:tc>
      </w:tr>
    </w:tbl>
    <w:p>
      <w:pPr>
        <w:spacing w:line="259" w:lineRule="auto" w:after="100"/>
      </w:pPr>
    </w:p>
    <w:p>
      <w:pPr>
        <w:spacing w:before="500" w:line="259" w:lineRule="auto" w:after="100"/>
        <w:jc w:val="center"/>
      </w:pPr>
      <w:r>
        <w:rPr>
          <w:color w:val="505050"/>
          <w:sz w:val="22"/>
        </w:rPr>
        <w:t>Entregables: repositorio GitHub + exposición técnica y demostración</w:t>
      </w:r>
    </w:p>
    <w:p>
      <w:pPr>
        <w:spacing w:line="259" w:lineRule="auto" w:after="100"/>
      </w:pPr>
      <w:r>
        <w:br w:type="page"/>
      </w:r>
    </w:p>
    <w:p>
      <w:pPr>
        <w:pStyle w:val="Heading1"/>
      </w:pPr>
      <w:r>
        <w:t>1. Objetivo de la investigación</w:t>
      </w:r>
    </w:p>
    <w:p>
      <w:pPr>
        <w:spacing w:after="160" w:line="259" w:lineRule="auto"/>
      </w:pPr>
      <w:r>
        <w:t>Desarrollar en equipos un sistema web capaz de consultar, procesar y presentar información proveniente de fuentes OSINT (Open Source Intelligence) relacionadas con Costa Rica. El objetivo es demostrar que los datos públicos pueden convertirse en información útil cuando se integran correctamente dentro de una solución de software.</w:t>
      </w:r>
    </w:p>
    <w:tbl>
      <w:tblPr>
        <w:tblW w:type="auto" w:w="0"/>
        <w:jc w:val="center"/>
        <w:tblLook w:firstColumn="1" w:firstRow="1" w:lastColumn="0" w:lastRow="0" w:noHBand="0" w:noVBand="1" w:val="04A0"/>
      </w:tblPr>
      <w:tblGrid>
        <w:gridCol w:w="9936"/>
      </w:tblGrid>
      <w:tr>
        <w:tc>
          <w:tcPr>
            <w:tcW w:type="dxa" w:w="9936"/>
            <w:shd w:fill="FFF2CC"/>
            <w:tcMar>
              <w:top w:w="150" w:type="dxa"/>
              <w:start w:w="180" w:type="dxa"/>
              <w:bottom w:w="150" w:type="dxa"/>
              <w:end w:w="180" w:type="dxa"/>
            </w:tcMar>
          </w:tcPr>
          <w:p>
            <w:r>
              <w:rPr>
                <w:b/>
                <w:sz w:val="21"/>
              </w:rPr>
              <w:t xml:space="preserve">OSINT no significa “hackear”. </w:t>
            </w:r>
            <w:r>
              <w:rPr>
                <w:sz w:val="21"/>
              </w:rPr>
              <w:t>Para este trabajo se utilizarán únicamente fuentes públicas o legítimamente accesibles, sin evadir autenticación, CAPTCHA, permisos ni controles de seguridad.</w:t>
            </w:r>
          </w:p>
        </w:tc>
      </w:tr>
    </w:tbl>
    <w:p>
      <w:pPr>
        <w:pStyle w:val="Heading1"/>
      </w:pPr>
      <w:r>
        <w:t>2. Requisito principal</w:t>
      </w:r>
    </w:p>
    <w:p>
      <w:pPr>
        <w:spacing w:line="259" w:lineRule="auto" w:after="100"/>
      </w:pPr>
      <w:r>
        <w:rPr>
          <w:b/>
        </w:rPr>
        <w:t>Cada integrante del equipo deberá investigar e integrar al menos una fuente OSINT diferente.</w:t>
      </w:r>
      <w:r>
        <w:t xml:space="preserve"> Por ejemplo, un equipo de cuatro estudiantes deberá incorporar como mínimo cuatro fuentes distintas.</w:t>
      </w:r>
    </w:p>
    <w:p>
      <w:pPr>
        <w:pStyle w:val="ListBullet"/>
        <w:spacing w:after="60"/>
      </w:pPr>
      <w:r>
        <w:rPr>
          <w:sz w:val="21"/>
        </w:rPr>
        <w:t>La fuente debe ser consumida por el sistema: API, Web Service, CSV/JSON/XML, WFS/WMS/WMTS, descarga automatizable u otro mecanismo válido.</w:t>
      </w:r>
    </w:p>
    <w:p>
      <w:pPr>
        <w:pStyle w:val="ListBullet"/>
        <w:spacing w:after="60"/>
      </w:pPr>
      <w:r>
        <w:rPr>
          <w:sz w:val="21"/>
        </w:rPr>
        <w:t>No cuenta como integración simplemente agregar un enlace hacia una página externa.</w:t>
      </w:r>
    </w:p>
    <w:p>
      <w:pPr>
        <w:pStyle w:val="ListBullet"/>
        <w:spacing w:after="60"/>
      </w:pPr>
      <w:r>
        <w:rPr>
          <w:sz w:val="21"/>
        </w:rPr>
        <w:t>La aplicación debe transformar, filtrar, relacionar, analizar o visualizar los datos obtenidos.</w:t>
      </w:r>
    </w:p>
    <w:p>
      <w:pPr>
        <w:pStyle w:val="ListBullet"/>
        <w:spacing w:after="60"/>
      </w:pPr>
      <w:r>
        <w:rPr>
          <w:sz w:val="21"/>
        </w:rPr>
        <w:t>Cada fuente debe aportar una capacidad visible y demostrable dentro del sistema.</w:t>
      </w:r>
    </w:p>
    <w:p>
      <w:pPr>
        <w:pStyle w:val="ListBullet"/>
        <w:spacing w:after="60"/>
      </w:pPr>
      <w:r>
        <w:rPr>
          <w:sz w:val="21"/>
        </w:rPr>
        <w:t>Debe indicarse claramente de dónde provienen los datos.</w:t>
      </w:r>
    </w:p>
    <w:p>
      <w:pPr>
        <w:pStyle w:val="Heading1"/>
      </w:pPr>
      <w:r>
        <w:t>3. ¿Qué debería hacer el sistema?</w:t>
      </w:r>
    </w:p>
    <w:p>
      <w:pPr>
        <w:spacing w:line="259" w:lineRule="auto" w:after="100"/>
      </w:pPr>
      <w:r>
        <w:t>El tema de la aplicación es libre. Puede ser un observatorio, un buscador, un dashboard, un mapa, una herramienta de investigación, un portal de transparencia o cualquier otra propuesta razonable. Lo importante es que las fuentes no aparezcan aisladas: el equipo debe intentar convertirlas en una experiencia útil para el usuario.</w:t>
      </w:r>
    </w:p>
    <w:p>
      <w:pPr>
        <w:pStyle w:val="ListBullet"/>
        <w:spacing w:after="60"/>
      </w:pPr>
      <w:r>
        <w:rPr>
          <w:sz w:val="21"/>
        </w:rPr>
        <w:t>Interfaz web funcional.</w:t>
      </w:r>
    </w:p>
    <w:p>
      <w:pPr>
        <w:pStyle w:val="ListBullet"/>
        <w:spacing w:after="60"/>
      </w:pPr>
      <w:r>
        <w:rPr>
          <w:sz w:val="21"/>
        </w:rPr>
        <w:t>Consumo real de las fuentes OSINT seleccionadas.</w:t>
      </w:r>
    </w:p>
    <w:p>
      <w:pPr>
        <w:pStyle w:val="ListBullet"/>
        <w:spacing w:after="60"/>
      </w:pPr>
      <w:r>
        <w:rPr>
          <w:sz w:val="21"/>
        </w:rPr>
        <w:t>Procesamiento o normalización de la información obtenida.</w:t>
      </w:r>
    </w:p>
    <w:p>
      <w:pPr>
        <w:pStyle w:val="ListBullet"/>
        <w:spacing w:after="60"/>
      </w:pPr>
      <w:r>
        <w:rPr>
          <w:sz w:val="21"/>
        </w:rPr>
        <w:t>Visualización clara: mapas, gráficos, tablas, búsquedas, comparaciones u otras capacidades.</w:t>
      </w:r>
    </w:p>
    <w:p>
      <w:pPr>
        <w:pStyle w:val="ListBullet"/>
        <w:spacing w:after="60"/>
      </w:pPr>
      <w:r>
        <w:rPr>
          <w:sz w:val="21"/>
        </w:rPr>
        <w:t>Manejo razonable de errores cuando una fuente externa no esté disponible.</w:t>
      </w:r>
    </w:p>
    <w:p>
      <w:pPr>
        <w:pStyle w:val="ListBullet"/>
        <w:spacing w:after="60"/>
      </w:pPr>
      <w:r>
        <w:rPr>
          <w:sz w:val="21"/>
        </w:rPr>
        <w:t>Referencia de la fuente y fecha de obtención cuando sea relevante.</w:t>
      </w:r>
    </w:p>
    <w:p>
      <w:pPr>
        <w:pStyle w:val="Heading1"/>
      </w:pPr>
      <w:r>
        <w:t>4. Arquitectura sugerida</w:t>
      </w:r>
    </w:p>
    <w:p>
      <w:pPr>
        <w:spacing w:line="259" w:lineRule="auto" w:after="100"/>
      </w:pPr>
      <w:r>
        <w:t>Cuando una fuente externa es inestable, tiene restricciones de CORS, utiliza formatos antiguos o entrega archivos grandes, es preferible que el backend la consuma y normalice antes de exponerla al frontend.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D9EAF7"/>
            <w:tcMar>
              <w:top w:w="160" w:type="dxa"/>
              <w:start w:w="80" w:type="dxa"/>
              <w:bottom w:w="160" w:type="dxa"/>
              <w:end w:w="80" w:type="dxa"/>
            </w:tcMar>
            <w:vAlign w:val="center"/>
          </w:tcPr>
          <w:p>
            <w:pPr>
              <w:jc w:val="center"/>
            </w:pPr>
            <w:r>
              <w:rPr>
                <w:b/>
                <w:sz w:val="19"/>
              </w:rPr>
              <w:t>Fuentes OSINT</w:t>
            </w:r>
          </w:p>
        </w:tc>
        <w:tc>
          <w:tcPr>
            <w:tcW w:type="dxa" w:w="1987"/>
            <w:shd w:fill="E2F0D9"/>
            <w:tcMar>
              <w:top w:w="160" w:type="dxa"/>
              <w:start w:w="80" w:type="dxa"/>
              <w:bottom w:w="160" w:type="dxa"/>
              <w:end w:w="80" w:type="dxa"/>
            </w:tcMar>
            <w:vAlign w:val="center"/>
          </w:tcPr>
          <w:p>
            <w:pPr>
              <w:jc w:val="center"/>
            </w:pPr>
            <w:r>
              <w:rPr>
                <w:b/>
                <w:sz w:val="19"/>
              </w:rPr>
              <w:t>Worker / Backend</w:t>
            </w:r>
          </w:p>
        </w:tc>
        <w:tc>
          <w:tcPr>
            <w:tcW w:type="dxa" w:w="1987"/>
            <w:shd w:fill="FCE4D6"/>
            <w:tcMar>
              <w:top w:w="160" w:type="dxa"/>
              <w:start w:w="80" w:type="dxa"/>
              <w:bottom w:w="160" w:type="dxa"/>
              <w:end w:w="80" w:type="dxa"/>
            </w:tcMar>
            <w:vAlign w:val="center"/>
          </w:tcPr>
          <w:p>
            <w:pPr>
              <w:jc w:val="center"/>
            </w:pPr>
            <w:r>
              <w:rPr>
                <w:b/>
                <w:sz w:val="19"/>
              </w:rPr>
              <w:t>Base de datos</w:t>
            </w:r>
          </w:p>
        </w:tc>
        <w:tc>
          <w:tcPr>
            <w:tcW w:type="dxa" w:w="1987"/>
            <w:shd w:fill="E4DFEC"/>
            <w:tcMar>
              <w:top w:w="160" w:type="dxa"/>
              <w:start w:w="80" w:type="dxa"/>
              <w:bottom w:w="160" w:type="dxa"/>
              <w:end w:w="80" w:type="dxa"/>
            </w:tcMar>
            <w:vAlign w:val="center"/>
          </w:tcPr>
          <w:p>
            <w:pPr>
              <w:jc w:val="center"/>
            </w:pPr>
            <w:r>
              <w:rPr>
                <w:b/>
                <w:sz w:val="19"/>
              </w:rPr>
              <w:t>API propia</w:t>
            </w:r>
          </w:p>
        </w:tc>
        <w:tc>
          <w:tcPr>
            <w:tcW w:type="dxa" w:w="1987"/>
            <w:shd w:fill="DDEBF7"/>
            <w:tcMar>
              <w:top w:w="160" w:type="dxa"/>
              <w:start w:w="80" w:type="dxa"/>
              <w:bottom w:w="160" w:type="dxa"/>
              <w:end w:w="80" w:type="dxa"/>
            </w:tcMar>
            <w:vAlign w:val="center"/>
          </w:tcPr>
          <w:p>
            <w:pPr>
              <w:jc w:val="center"/>
            </w:pPr>
            <w:r>
              <w:rPr>
                <w:b/>
                <w:sz w:val="19"/>
              </w:rPr>
              <w:t>Web</w:t>
            </w:r>
          </w:p>
        </w:tc>
      </w:tr>
    </w:tbl>
    <w:p>
      <w:pPr>
        <w:spacing w:before="160" w:line="259" w:lineRule="auto" w:after="100"/>
      </w:pPr>
      <w:r>
        <w:rPr>
          <w:b/>
        </w:rPr>
        <w:t xml:space="preserve">Ejemplo: </w:t>
      </w:r>
      <w:r>
        <w:t>SNIT / SICOP / BCCR → backend o proceso de sincronización → base de datos → API del proyecto → interfaz web.</w:t>
      </w:r>
    </w:p>
    <w:p>
      <w:pPr>
        <w:pStyle w:val="Heading1"/>
      </w:pPr>
      <w:r>
        <w:t>5. Fuentes OSINT sugeridas para Costa Rica</w:t>
      </w:r>
    </w:p>
    <w:p>
      <w:pPr>
        <w:spacing w:line="259" w:lineRule="auto" w:after="100"/>
      </w:pPr>
      <w:r>
        <w:t>Las siguientes fuentes son buenas candidatas porque permiten consumir información desde software mediante servicios, archivos estructurados o mecanismos de descarga. No son las únicas posibles: el equipo puede proponer otras fuentes siempre que pueda justificar su carácter público, su forma de consumo y el valor que aporta.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0F3E57"/>
            <w:tcMar>
              <w:top w:w="90" w:type="dxa"/>
              <w:start w:w="90" w:type="dxa"/>
              <w:bottom w:w="90" w:type="dxa"/>
              <w:end w:w="90" w:type="dxa"/>
            </w:tcMar>
          </w:tcPr>
          <w:p>
            <w:r>
              <w:rPr>
                <w:b/>
                <w:color w:val="FFFFFF"/>
                <w:sz w:val="19"/>
              </w:rPr>
              <w:t>Fuente</w:t>
            </w:r>
          </w:p>
        </w:tc>
        <w:tc>
          <w:tcPr>
            <w:tcW w:type="dxa" w:w="2484"/>
            <w:shd w:fill="0F3E57"/>
            <w:tcMar>
              <w:top w:w="90" w:type="dxa"/>
              <w:start w:w="90" w:type="dxa"/>
              <w:bottom w:w="90" w:type="dxa"/>
              <w:end w:w="90" w:type="dxa"/>
            </w:tcMar>
          </w:tcPr>
          <w:p>
            <w:r>
              <w:rPr>
                <w:b/>
                <w:color w:val="FFFFFF"/>
                <w:sz w:val="19"/>
              </w:rPr>
              <w:t>Información</w:t>
            </w:r>
          </w:p>
        </w:tc>
        <w:tc>
          <w:tcPr>
            <w:tcW w:type="dxa" w:w="2484"/>
            <w:shd w:fill="0F3E57"/>
            <w:tcMar>
              <w:top w:w="90" w:type="dxa"/>
              <w:start w:w="90" w:type="dxa"/>
              <w:bottom w:w="90" w:type="dxa"/>
              <w:end w:w="90" w:type="dxa"/>
            </w:tcMar>
          </w:tcPr>
          <w:p>
            <w:r>
              <w:rPr>
                <w:b/>
                <w:color w:val="FFFFFF"/>
                <w:sz w:val="19"/>
              </w:rPr>
              <w:t>Consumo</w:t>
            </w:r>
          </w:p>
        </w:tc>
        <w:tc>
          <w:tcPr>
            <w:tcW w:type="dxa" w:w="2484"/>
            <w:shd w:fill="0F3E57"/>
            <w:tcMar>
              <w:top w:w="90" w:type="dxa"/>
              <w:start w:w="90" w:type="dxa"/>
              <w:bottom w:w="90" w:type="dxa"/>
              <w:end w:w="90" w:type="dxa"/>
            </w:tcMar>
          </w:tcPr>
          <w:p>
            <w:r>
              <w:rPr>
                <w:b/>
                <w:color w:val="FFFFFF"/>
                <w:sz w:val="19"/>
              </w:rPr>
              <w:t>Dificultad</w:t>
            </w:r>
          </w:p>
        </w:tc>
      </w:tr>
      <w:tr>
        <w:tc>
          <w:tcPr>
            <w:tcW w:type="dxa" w:w="2484"/>
            <w:tcMar>
              <w:top w:w="80" w:type="dxa"/>
              <w:start w:w="80" w:type="dxa"/>
              <w:bottom w:w="80" w:type="dxa"/>
              <w:end w:w="80" w:type="dxa"/>
            </w:tcMar>
          </w:tcPr>
          <w:p>
            <w:r>
              <w:rPr>
                <w:sz w:val="18"/>
              </w:rPr>
              <w:t>SNIT</w:t>
            </w:r>
          </w:p>
        </w:tc>
        <w:tc>
          <w:tcPr>
            <w:tcW w:type="dxa" w:w="2484"/>
            <w:tcMar>
              <w:top w:w="80" w:type="dxa"/>
              <w:start w:w="80" w:type="dxa"/>
              <w:bottom w:w="80" w:type="dxa"/>
              <w:end w:w="80" w:type="dxa"/>
            </w:tcMar>
          </w:tcPr>
          <w:p>
            <w:r>
              <w:rPr>
                <w:sz w:val="18"/>
              </w:rPr>
              <w:t>Geografía y capas territoriales</w:t>
            </w:r>
          </w:p>
        </w:tc>
        <w:tc>
          <w:tcPr>
            <w:tcW w:type="dxa" w:w="2484"/>
            <w:tcMar>
              <w:top w:w="80" w:type="dxa"/>
              <w:start w:w="80" w:type="dxa"/>
              <w:bottom w:w="80" w:type="dxa"/>
              <w:end w:w="80" w:type="dxa"/>
            </w:tcMar>
          </w:tcPr>
          <w:p>
            <w:r>
              <w:rPr>
                <w:sz w:val="18"/>
              </w:rPr>
              <w:t>WFS / WMS / WMTS</w:t>
            </w:r>
          </w:p>
        </w:tc>
        <w:tc>
          <w:tcPr>
            <w:tcW w:type="dxa" w:w="2484"/>
            <w:tcMar>
              <w:top w:w="80" w:type="dxa"/>
              <w:start w:w="80" w:type="dxa"/>
              <w:bottom w:w="80" w:type="dxa"/>
              <w:end w:w="80" w:type="dxa"/>
            </w:tcMar>
          </w:tcPr>
          <w:p>
            <w:r>
              <w:rPr>
                <w:sz w:val="18"/>
              </w:rPr>
              <w:t>Media</w:t>
            </w:r>
          </w:p>
        </w:tc>
      </w:tr>
      <w:tr>
        <w:tc>
          <w:tcPr>
            <w:tcW w:type="dxa" w:w="2484"/>
            <w:tcMar>
              <w:top w:w="80" w:type="dxa"/>
              <w:start w:w="80" w:type="dxa"/>
              <w:bottom w:w="80" w:type="dxa"/>
              <w:end w:w="80" w:type="dxa"/>
            </w:tcMar>
          </w:tcPr>
          <w:p>
            <w:r>
              <w:rPr>
                <w:sz w:val="18"/>
              </w:rPr>
              <w:t>Poder Judicial / OIJ</w:t>
            </w:r>
          </w:p>
        </w:tc>
        <w:tc>
          <w:tcPr>
            <w:tcW w:type="dxa" w:w="2484"/>
            <w:tcMar>
              <w:top w:w="80" w:type="dxa"/>
              <w:start w:w="80" w:type="dxa"/>
              <w:bottom w:w="80" w:type="dxa"/>
              <w:end w:w="80" w:type="dxa"/>
            </w:tcMar>
          </w:tcPr>
          <w:p>
            <w:r>
              <w:rPr>
                <w:sz w:val="18"/>
              </w:rPr>
              <w:t>Estadísticas policiales y judiciales</w:t>
            </w:r>
          </w:p>
        </w:tc>
        <w:tc>
          <w:tcPr>
            <w:tcW w:type="dxa" w:w="2484"/>
            <w:tcMar>
              <w:top w:w="80" w:type="dxa"/>
              <w:start w:w="80" w:type="dxa"/>
              <w:bottom w:w="80" w:type="dxa"/>
              <w:end w:w="80" w:type="dxa"/>
            </w:tcMar>
          </w:tcPr>
          <w:p>
            <w:r>
              <w:rPr>
                <w:sz w:val="18"/>
              </w:rPr>
              <w:t>CKAN / CSV / XML / RDF</w:t>
            </w:r>
          </w:p>
        </w:tc>
        <w:tc>
          <w:tcPr>
            <w:tcW w:type="dxa" w:w="2484"/>
            <w:tcMar>
              <w:top w:w="80" w:type="dxa"/>
              <w:start w:w="80" w:type="dxa"/>
              <w:bottom w:w="80" w:type="dxa"/>
              <w:end w:w="80" w:type="dxa"/>
            </w:tcMar>
          </w:tcPr>
          <w:p>
            <w:r>
              <w:rPr>
                <w:sz w:val="18"/>
              </w:rPr>
              <w:t>Baja–Media</w:t>
            </w:r>
          </w:p>
        </w:tc>
      </w:tr>
      <w:tr>
        <w:tc>
          <w:tcPr>
            <w:tcW w:type="dxa" w:w="2484"/>
            <w:tcMar>
              <w:top w:w="80" w:type="dxa"/>
              <w:start w:w="80" w:type="dxa"/>
              <w:bottom w:w="80" w:type="dxa"/>
              <w:end w:w="80" w:type="dxa"/>
            </w:tcMar>
          </w:tcPr>
          <w:p>
            <w:r>
              <w:rPr>
                <w:sz w:val="18"/>
              </w:rPr>
              <w:t>SICOP</w:t>
            </w:r>
          </w:p>
        </w:tc>
        <w:tc>
          <w:tcPr>
            <w:tcW w:type="dxa" w:w="2484"/>
            <w:tcMar>
              <w:top w:w="80" w:type="dxa"/>
              <w:start w:w="80" w:type="dxa"/>
              <w:bottom w:w="80" w:type="dxa"/>
              <w:end w:w="80" w:type="dxa"/>
            </w:tcMar>
          </w:tcPr>
          <w:p>
            <w:r>
              <w:rPr>
                <w:sz w:val="18"/>
              </w:rPr>
              <w:t>Contratación pública</w:t>
            </w:r>
          </w:p>
        </w:tc>
        <w:tc>
          <w:tcPr>
            <w:tcW w:type="dxa" w:w="2484"/>
            <w:tcMar>
              <w:top w:w="80" w:type="dxa"/>
              <w:start w:w="80" w:type="dxa"/>
              <w:bottom w:w="80" w:type="dxa"/>
              <w:end w:w="80" w:type="dxa"/>
            </w:tcMar>
          </w:tcPr>
          <w:p>
            <w:r>
              <w:rPr>
                <w:sz w:val="18"/>
              </w:rPr>
              <w:t>JSON / CSV / Excel</w:t>
            </w:r>
          </w:p>
        </w:tc>
        <w:tc>
          <w:tcPr>
            <w:tcW w:type="dxa" w:w="2484"/>
            <w:tcMar>
              <w:top w:w="80" w:type="dxa"/>
              <w:start w:w="80" w:type="dxa"/>
              <w:bottom w:w="80" w:type="dxa"/>
              <w:end w:w="80" w:type="dxa"/>
            </w:tcMar>
          </w:tcPr>
          <w:p>
            <w:r>
              <w:rPr>
                <w:sz w:val="18"/>
              </w:rPr>
              <w:t>Media</w:t>
            </w:r>
          </w:p>
        </w:tc>
      </w:tr>
      <w:tr>
        <w:tc>
          <w:tcPr>
            <w:tcW w:type="dxa" w:w="2484"/>
            <w:tcMar>
              <w:top w:w="80" w:type="dxa"/>
              <w:start w:w="80" w:type="dxa"/>
              <w:bottom w:w="80" w:type="dxa"/>
              <w:end w:w="80" w:type="dxa"/>
            </w:tcMar>
          </w:tcPr>
          <w:p>
            <w:r>
              <w:rPr>
                <w:sz w:val="18"/>
              </w:rPr>
              <w:t>BCCR</w:t>
            </w:r>
          </w:p>
        </w:tc>
        <w:tc>
          <w:tcPr>
            <w:tcW w:type="dxa" w:w="2484"/>
            <w:tcMar>
              <w:top w:w="80" w:type="dxa"/>
              <w:start w:w="80" w:type="dxa"/>
              <w:bottom w:w="80" w:type="dxa"/>
              <w:end w:w="80" w:type="dxa"/>
            </w:tcMar>
          </w:tcPr>
          <w:p>
            <w:r>
              <w:rPr>
                <w:sz w:val="18"/>
              </w:rPr>
              <w:t>Indicadores económicos</w:t>
            </w:r>
          </w:p>
        </w:tc>
        <w:tc>
          <w:tcPr>
            <w:tcW w:type="dxa" w:w="2484"/>
            <w:tcMar>
              <w:top w:w="80" w:type="dxa"/>
              <w:start w:w="80" w:type="dxa"/>
              <w:bottom w:w="80" w:type="dxa"/>
              <w:end w:w="80" w:type="dxa"/>
            </w:tcMar>
          </w:tcPr>
          <w:p>
            <w:r>
              <w:rPr>
                <w:sz w:val="18"/>
              </w:rPr>
              <w:t>Web Service / XML</w:t>
            </w:r>
          </w:p>
        </w:tc>
        <w:tc>
          <w:tcPr>
            <w:tcW w:type="dxa" w:w="2484"/>
            <w:tcMar>
              <w:top w:w="80" w:type="dxa"/>
              <w:start w:w="80" w:type="dxa"/>
              <w:bottom w:w="80" w:type="dxa"/>
              <w:end w:w="80" w:type="dxa"/>
            </w:tcMar>
          </w:tcPr>
          <w:p>
            <w:r>
              <w:rPr>
                <w:sz w:val="18"/>
              </w:rPr>
              <w:t>Media</w:t>
            </w:r>
          </w:p>
        </w:tc>
      </w:tr>
      <w:tr>
        <w:tc>
          <w:tcPr>
            <w:tcW w:type="dxa" w:w="2484"/>
            <w:tcMar>
              <w:top w:w="80" w:type="dxa"/>
              <w:start w:w="80" w:type="dxa"/>
              <w:bottom w:w="80" w:type="dxa"/>
              <w:end w:w="80" w:type="dxa"/>
            </w:tcMar>
          </w:tcPr>
          <w:p>
            <w:r>
              <w:rPr>
                <w:sz w:val="18"/>
              </w:rPr>
              <w:t>TSE</w:t>
            </w:r>
          </w:p>
        </w:tc>
        <w:tc>
          <w:tcPr>
            <w:tcW w:type="dxa" w:w="2484"/>
            <w:tcMar>
              <w:top w:w="80" w:type="dxa"/>
              <w:start w:w="80" w:type="dxa"/>
              <w:bottom w:w="80" w:type="dxa"/>
              <w:end w:w="80" w:type="dxa"/>
            </w:tcMar>
          </w:tcPr>
          <w:p>
            <w:r>
              <w:rPr>
                <w:sz w:val="18"/>
              </w:rPr>
              <w:t>Padrón y estadísticas electorales</w:t>
            </w:r>
          </w:p>
        </w:tc>
        <w:tc>
          <w:tcPr>
            <w:tcW w:type="dxa" w:w="2484"/>
            <w:tcMar>
              <w:top w:w="80" w:type="dxa"/>
              <w:start w:w="80" w:type="dxa"/>
              <w:bottom w:w="80" w:type="dxa"/>
              <w:end w:w="80" w:type="dxa"/>
            </w:tcMar>
          </w:tcPr>
          <w:p>
            <w:r>
              <w:rPr>
                <w:sz w:val="18"/>
              </w:rPr>
              <w:t>ZIP / TXT (batch)</w:t>
            </w:r>
          </w:p>
        </w:tc>
        <w:tc>
          <w:tcPr>
            <w:tcW w:type="dxa" w:w="2484"/>
            <w:tcMar>
              <w:top w:w="80" w:type="dxa"/>
              <w:start w:w="80" w:type="dxa"/>
              <w:bottom w:w="80" w:type="dxa"/>
              <w:end w:w="80" w:type="dxa"/>
            </w:tcMar>
          </w:tcPr>
          <w:p>
            <w:r>
              <w:rPr>
                <w:sz w:val="18"/>
              </w:rPr>
              <w:t>Media</w:t>
            </w:r>
          </w:p>
        </w:tc>
      </w:tr>
      <w:tr>
        <w:tc>
          <w:tcPr>
            <w:tcW w:type="dxa" w:w="2484"/>
            <w:tcMar>
              <w:top w:w="80" w:type="dxa"/>
              <w:start w:w="80" w:type="dxa"/>
              <w:bottom w:w="80" w:type="dxa"/>
              <w:end w:w="80" w:type="dxa"/>
            </w:tcMar>
          </w:tcPr>
          <w:p>
            <w:r>
              <w:rPr>
                <w:sz w:val="18"/>
              </w:rPr>
              <w:t>Portal Nacional de Datos Abiertos</w:t>
            </w:r>
          </w:p>
        </w:tc>
        <w:tc>
          <w:tcPr>
            <w:tcW w:type="dxa" w:w="2484"/>
            <w:tcMar>
              <w:top w:w="80" w:type="dxa"/>
              <w:start w:w="80" w:type="dxa"/>
              <w:bottom w:w="80" w:type="dxa"/>
              <w:end w:w="80" w:type="dxa"/>
            </w:tcMar>
          </w:tcPr>
          <w:p>
            <w:r>
              <w:rPr>
                <w:sz w:val="18"/>
              </w:rPr>
              <w:t>Datasets públicos diversos</w:t>
            </w:r>
          </w:p>
        </w:tc>
        <w:tc>
          <w:tcPr>
            <w:tcW w:type="dxa" w:w="2484"/>
            <w:tcMar>
              <w:top w:w="80" w:type="dxa"/>
              <w:start w:w="80" w:type="dxa"/>
              <w:bottom w:w="80" w:type="dxa"/>
              <w:end w:w="80" w:type="dxa"/>
            </w:tcMar>
          </w:tcPr>
          <w:p>
            <w:r>
              <w:rPr>
                <w:sz w:val="18"/>
              </w:rPr>
              <w:t>CKAN / archivos abiertos</w:t>
            </w:r>
          </w:p>
        </w:tc>
        <w:tc>
          <w:tcPr>
            <w:tcW w:type="dxa" w:w="2484"/>
            <w:tcMar>
              <w:top w:w="80" w:type="dxa"/>
              <w:start w:w="80" w:type="dxa"/>
              <w:bottom w:w="80" w:type="dxa"/>
              <w:end w:w="80" w:type="dxa"/>
            </w:tcMar>
          </w:tcPr>
          <w:p>
            <w:r>
              <w:rPr>
                <w:sz w:val="18"/>
              </w:rPr>
              <w:t>Baja–Media</w:t>
            </w:r>
          </w:p>
        </w:tc>
      </w:tr>
      <w:tr>
        <w:tc>
          <w:tcPr>
            <w:tcW w:type="dxa" w:w="2484"/>
            <w:tcMar>
              <w:top w:w="80" w:type="dxa"/>
              <w:start w:w="80" w:type="dxa"/>
              <w:bottom w:w="80" w:type="dxa"/>
              <w:end w:w="80" w:type="dxa"/>
            </w:tcMar>
          </w:tcPr>
          <w:p>
            <w:r>
              <w:rPr>
                <w:sz w:val="18"/>
              </w:rPr>
              <w:t>OpenStreetMap</w:t>
            </w:r>
          </w:p>
        </w:tc>
        <w:tc>
          <w:tcPr>
            <w:tcW w:type="dxa" w:w="2484"/>
            <w:tcMar>
              <w:top w:w="80" w:type="dxa"/>
              <w:start w:w="80" w:type="dxa"/>
              <w:bottom w:w="80" w:type="dxa"/>
              <w:end w:w="80" w:type="dxa"/>
            </w:tcMar>
          </w:tcPr>
          <w:p>
            <w:r>
              <w:rPr>
                <w:sz w:val="18"/>
              </w:rPr>
              <w:t>POI, vías y objetos geográficos</w:t>
            </w:r>
          </w:p>
        </w:tc>
        <w:tc>
          <w:tcPr>
            <w:tcW w:type="dxa" w:w="2484"/>
            <w:tcMar>
              <w:top w:w="80" w:type="dxa"/>
              <w:start w:w="80" w:type="dxa"/>
              <w:bottom w:w="80" w:type="dxa"/>
              <w:end w:w="80" w:type="dxa"/>
            </w:tcMar>
          </w:tcPr>
          <w:p>
            <w:r>
              <w:rPr>
                <w:sz w:val="18"/>
              </w:rPr>
              <w:t>Overpass API / JSON / XML</w:t>
            </w:r>
          </w:p>
        </w:tc>
        <w:tc>
          <w:tcPr>
            <w:tcW w:type="dxa" w:w="2484"/>
            <w:tcMar>
              <w:top w:w="80" w:type="dxa"/>
              <w:start w:w="80" w:type="dxa"/>
              <w:bottom w:w="80" w:type="dxa"/>
              <w:end w:w="80" w:type="dxa"/>
            </w:tcMar>
          </w:tcPr>
          <w:p>
            <w:r>
              <w:rPr>
                <w:sz w:val="18"/>
              </w:rPr>
              <w:t>Media</w:t>
            </w:r>
          </w:p>
        </w:tc>
      </w:tr>
    </w:tbl>
    <w:p>
      <w:pPr>
        <w:spacing w:before="240" w:after="60" w:line="259" w:lineRule="auto"/>
      </w:pPr>
      <w:r>
        <w:rPr>
          <w:b/>
          <w:color w:val="0F3E57"/>
          <w:sz w:val="30"/>
        </w:rPr>
        <w:t>1. SNIT — Sistema Nacional de Información Territorial</w:t>
      </w:r>
    </w:p>
    <w:p>
      <w:pPr>
        <w:spacing w:after="140" w:line="259" w:lineRule="auto"/>
      </w:pPr>
      <w:r>
        <w:rPr>
          <w:i/>
          <w:color w:val="505050"/>
          <w:sz w:val="21"/>
        </w:rPr>
        <w:t>Ideal para proyectos de mapas, territorio, infraestructura, ambiente y análisis geoespacial.</w:t>
      </w:r>
    </w:p>
    <w:tbl>
      <w:tblPr>
        <w:tblW w:type="auto" w:w="0"/>
        <w:jc w:val="center"/>
        <w:tblLayout w:type="fixed"/>
        <w:tblLook w:firstColumn="1" w:firstRow="1" w:lastColumn="0" w:lastRow="0" w:noHBand="0" w:noVBand="1" w:val="04A0"/>
      </w:tblPr>
      <w:tblGrid>
        <w:gridCol w:w="1944"/>
        <w:gridCol w:w="8136"/>
      </w:tblGrid>
      <w:tr>
        <w:tc>
          <w:tcPr>
            <w:tcW w:type="dxa" w:w="1944"/>
            <w:shd w:fill="DDEBF7"/>
            <w:vAlign w:val="center"/>
            <w:tcMar>
              <w:top w:w="90" w:type="dxa"/>
              <w:start w:w="90" w:type="dxa"/>
              <w:bottom w:w="90" w:type="dxa"/>
              <w:end w:w="90" w:type="dxa"/>
            </w:tcMar>
          </w:tcPr>
          <w:p>
            <w:r>
              <w:rPr>
                <w:b/>
                <w:color w:val="0F3E57"/>
                <w:sz w:val="19"/>
              </w:rPr>
              <w:t>Qué ofrece</w:t>
            </w:r>
          </w:p>
        </w:tc>
        <w:tc>
          <w:tcPr>
            <w:tcW w:type="dxa" w:w="8136"/>
            <w:tcMar>
              <w:top w:w="90" w:type="dxa"/>
              <w:start w:w="90" w:type="dxa"/>
              <w:bottom w:w="90" w:type="dxa"/>
              <w:end w:w="90" w:type="dxa"/>
            </w:tcMar>
          </w:tcPr>
          <w:p>
            <w:r>
              <w:rPr>
                <w:sz w:val="19"/>
              </w:rPr>
              <w:t>Publica información georreferenciada producida por diferentes instituciones. Según el servicio y nodo pueden encontrarse límites territoriales, vías, hidrografía, ortofotos, catastro y otras capas temáticas.</w:t>
            </w:r>
          </w:p>
        </w:tc>
      </w:tr>
      <w:tr>
        <w:tc>
          <w:tcPr>
            <w:tcW w:type="dxa" w:w="1944"/>
            <w:shd w:fill="DDEBF7"/>
            <w:vAlign w:val="center"/>
            <w:tcMar>
              <w:top w:w="90" w:type="dxa"/>
              <w:start w:w="90" w:type="dxa"/>
              <w:bottom w:w="90" w:type="dxa"/>
              <w:end w:w="90" w:type="dxa"/>
            </w:tcMar>
          </w:tcPr>
          <w:p>
            <w:r>
              <w:rPr>
                <w:b/>
                <w:color w:val="0F3E57"/>
                <w:sz w:val="19"/>
              </w:rPr>
              <w:t>Cómo consumirla</w:t>
            </w:r>
          </w:p>
        </w:tc>
        <w:tc>
          <w:tcPr>
            <w:tcW w:type="dxa" w:w="8136"/>
            <w:tcMar>
              <w:top w:w="90" w:type="dxa"/>
              <w:start w:w="90" w:type="dxa"/>
              <w:bottom w:w="90" w:type="dxa"/>
              <w:end w:w="90" w:type="dxa"/>
            </w:tcMar>
          </w:tcPr>
          <w:p>
            <w:r>
              <w:rPr>
                <w:sz w:val="19"/>
              </w:rPr>
              <w:t>Utiliza estándares OGC. WFS entrega entidades vectoriales que pueden consultarse y descargarse; WMS entrega mapas ráster; WMTS trabaja con teselas para visualización eficiente. Un backend o un cliente GIS/web compatible puede consumir estos servicios.</w:t>
            </w:r>
          </w:p>
        </w:tc>
      </w:tr>
      <w:tr>
        <w:tc>
          <w:tcPr>
            <w:tcW w:type="dxa" w:w="1944"/>
            <w:shd w:fill="DDEBF7"/>
            <w:vAlign w:val="center"/>
            <w:tcMar>
              <w:top w:w="90" w:type="dxa"/>
              <w:start w:w="90" w:type="dxa"/>
              <w:bottom w:w="90" w:type="dxa"/>
              <w:end w:w="90" w:type="dxa"/>
            </w:tcMar>
          </w:tcPr>
          <w:p>
            <w:r>
              <w:rPr>
                <w:b/>
                <w:color w:val="0F3E57"/>
                <w:sz w:val="19"/>
              </w:rPr>
              <w:t>Ideas para el sistema</w:t>
            </w:r>
          </w:p>
        </w:tc>
        <w:tc>
          <w:tcPr>
            <w:tcW w:type="dxa" w:w="8136"/>
            <w:tcMar>
              <w:top w:w="90" w:type="dxa"/>
              <w:start w:w="90" w:type="dxa"/>
              <w:bottom w:w="90" w:type="dxa"/>
              <w:end w:w="90" w:type="dxa"/>
            </w:tcMar>
          </w:tcPr>
          <w:p>
            <w:r>
              <w:rPr>
                <w:sz w:val="19"/>
              </w:rPr>
              <w:t>Mapa de infraestructura por cantón; búsqueda territorial; cruce de capas; visualización de ríos, carreteras o áreas protegidas; conversión de WFS a GeoJSON; almacenamiento en PostGIS.</w:t>
            </w:r>
          </w:p>
        </w:tc>
      </w:tr>
    </w:tbl>
    <w:p>
      <w:pPr>
        <w:spacing w:before="80" w:after="40" w:line="259" w:lineRule="auto"/>
      </w:pPr>
      <w:r>
        <w:rPr>
          <w:b/>
          <w:color w:val="AD5F00"/>
          <w:sz w:val="19"/>
        </w:rPr>
        <w:t xml:space="preserve">Nota: </w:t>
      </w:r>
      <w:r>
        <w:rPr>
          <w:sz w:val="19"/>
        </w:rPr>
        <w:t>La disponibilidad y atributos dependen de cada nodo. Conviene documentar exactamente qué capa utiliza el equipo.</w:t>
      </w:r>
    </w:p>
    <w:p>
      <w:pPr>
        <w:spacing w:after="160" w:line="259" w:lineRule="auto"/>
      </w:pPr>
      <w:r>
        <w:rPr>
          <w:b/>
          <w:sz w:val="18"/>
        </w:rPr>
        <w:t xml:space="preserve">Referencia oficial: </w:t>
      </w:r>
      <w:hyperlink r:id="rId10">
        <w:r>
          <w:rPr>
            <w:color w:val="0563C1"/>
            <w:u w:val="single"/>
          </w:rPr>
          <w:t>https://www.snitcr.go.cr/ico_servicios_ogc</w:t>
        </w:r>
      </w:hyperlink>
    </w:p>
    <w:p>
      <w:pPr>
        <w:spacing w:before="240" w:after="60" w:line="259" w:lineRule="auto"/>
      </w:pPr>
      <w:r>
        <w:rPr>
          <w:b/>
          <w:color w:val="0F3E57"/>
          <w:sz w:val="30"/>
        </w:rPr>
        <w:t>2. Poder Judicial / OIJ — Datos Abiertos</w:t>
      </w:r>
    </w:p>
    <w:p>
      <w:pPr>
        <w:spacing w:after="140" w:line="259" w:lineRule="auto"/>
      </w:pPr>
      <w:r>
        <w:rPr>
          <w:i/>
          <w:color w:val="505050"/>
          <w:sz w:val="21"/>
        </w:rPr>
        <w:t>Muy útil para observatorios de seguridad, estadísticas territoriales y análisis de tendencias.</w:t>
      </w:r>
    </w:p>
    <w:tbl>
      <w:tblPr>
        <w:tblW w:type="auto" w:w="0"/>
        <w:jc w:val="center"/>
        <w:tblLayout w:type="fixed"/>
        <w:tblLook w:firstColumn="1" w:firstRow="1" w:lastColumn="0" w:lastRow="0" w:noHBand="0" w:noVBand="1" w:val="04A0"/>
      </w:tblPr>
      <w:tblGrid>
        <w:gridCol w:w="1944"/>
        <w:gridCol w:w="8136"/>
      </w:tblGrid>
      <w:tr>
        <w:tc>
          <w:tcPr>
            <w:tcW w:type="dxa" w:w="1944"/>
            <w:shd w:fill="DDEBF7"/>
            <w:vAlign w:val="center"/>
            <w:tcMar>
              <w:top w:w="90" w:type="dxa"/>
              <w:start w:w="90" w:type="dxa"/>
              <w:bottom w:w="90" w:type="dxa"/>
              <w:end w:w="90" w:type="dxa"/>
            </w:tcMar>
          </w:tcPr>
          <w:p>
            <w:r>
              <w:rPr>
                <w:b/>
                <w:color w:val="0F3E57"/>
                <w:sz w:val="19"/>
              </w:rPr>
              <w:t>Qué ofrece</w:t>
            </w:r>
          </w:p>
        </w:tc>
        <w:tc>
          <w:tcPr>
            <w:tcW w:type="dxa" w:w="8136"/>
            <w:tcMar>
              <w:top w:w="90" w:type="dxa"/>
              <w:start w:w="90" w:type="dxa"/>
              <w:bottom w:w="90" w:type="dxa"/>
              <w:end w:w="90" w:type="dxa"/>
            </w:tcMar>
          </w:tcPr>
          <w:p>
            <w:r>
              <w:rPr>
                <w:sz w:val="19"/>
              </w:rPr>
              <w:t>El portal de Datos Abiertos del Poder Judicial publica conjuntos estadísticos. Las Estadísticas Policiales del OIJ, por ejemplo, incluyen información depurada para analizar frecuencia y tipos de delitos en distintas partes del país, con recursos publicados para varios años, incluido 2026.</w:t>
            </w:r>
          </w:p>
        </w:tc>
      </w:tr>
      <w:tr>
        <w:tc>
          <w:tcPr>
            <w:tcW w:type="dxa" w:w="1944"/>
            <w:shd w:fill="DDEBF7"/>
            <w:vAlign w:val="center"/>
            <w:tcMar>
              <w:top w:w="90" w:type="dxa"/>
              <w:start w:w="90" w:type="dxa"/>
              <w:bottom w:w="90" w:type="dxa"/>
              <w:end w:w="90" w:type="dxa"/>
            </w:tcMar>
          </w:tcPr>
          <w:p>
            <w:r>
              <w:rPr>
                <w:b/>
                <w:color w:val="0F3E57"/>
                <w:sz w:val="19"/>
              </w:rPr>
              <w:t>Cómo consumirla</w:t>
            </w:r>
          </w:p>
        </w:tc>
        <w:tc>
          <w:tcPr>
            <w:tcW w:type="dxa" w:w="8136"/>
            <w:tcMar>
              <w:top w:w="90" w:type="dxa"/>
              <w:start w:w="90" w:type="dxa"/>
              <w:bottom w:w="90" w:type="dxa"/>
              <w:end w:w="90" w:type="dxa"/>
            </w:tcMar>
          </w:tcPr>
          <w:p>
            <w:r>
              <w:rPr>
                <w:sz w:val="19"/>
              </w:rPr>
              <w:t>El portal está construido sobre CKAN y ofrece recursos en formatos como CSV, XLS/XLSX, XML y RDF; el propio catálogo indica disponibilidad mediante API. Es una de las fuentes más sencillas para descargar, procesar y normalizar.</w:t>
            </w:r>
          </w:p>
        </w:tc>
      </w:tr>
      <w:tr>
        <w:tc>
          <w:tcPr>
            <w:tcW w:type="dxa" w:w="1944"/>
            <w:shd w:fill="DDEBF7"/>
            <w:vAlign w:val="center"/>
            <w:tcMar>
              <w:top w:w="90" w:type="dxa"/>
              <w:start w:w="90" w:type="dxa"/>
              <w:bottom w:w="90" w:type="dxa"/>
              <w:end w:w="90" w:type="dxa"/>
            </w:tcMar>
          </w:tcPr>
          <w:p>
            <w:r>
              <w:rPr>
                <w:b/>
                <w:color w:val="0F3E57"/>
                <w:sz w:val="19"/>
              </w:rPr>
              <w:t>Ideas para el sistema</w:t>
            </w:r>
          </w:p>
        </w:tc>
        <w:tc>
          <w:tcPr>
            <w:tcW w:type="dxa" w:w="8136"/>
            <w:tcMar>
              <w:top w:w="90" w:type="dxa"/>
              <w:start w:w="90" w:type="dxa"/>
              <w:bottom w:w="90" w:type="dxa"/>
              <w:end w:w="90" w:type="dxa"/>
            </w:tcMar>
          </w:tcPr>
          <w:p>
            <w:r>
              <w:rPr>
                <w:sz w:val="19"/>
              </w:rPr>
              <w:t>Dashboard de delitos; comparación entre cantones; serie histórica; mapa de calor; filtros por tipo de delito; combinación con límites territoriales de SNIT.</w:t>
            </w:r>
          </w:p>
        </w:tc>
      </w:tr>
    </w:tbl>
    <w:p>
      <w:pPr>
        <w:spacing w:before="80" w:after="40" w:line="259" w:lineRule="auto"/>
      </w:pPr>
      <w:r>
        <w:rPr>
          <w:b/>
          <w:color w:val="AD5F00"/>
          <w:sz w:val="19"/>
        </w:rPr>
        <w:t xml:space="preserve">Nota: </w:t>
      </w:r>
      <w:r>
        <w:rPr>
          <w:sz w:val="19"/>
        </w:rPr>
        <w:t>Los datos son estadísticos. El sistema debe evitar presentar correlaciones como si fueran causalidad o convertir estadísticas agregadas en afirmaciones sobre individuos.</w:t>
      </w:r>
    </w:p>
    <w:p>
      <w:pPr>
        <w:spacing w:after="160" w:line="259" w:lineRule="auto"/>
      </w:pPr>
      <w:r>
        <w:rPr>
          <w:b/>
          <w:sz w:val="18"/>
        </w:rPr>
        <w:t xml:space="preserve">Referencia oficial: </w:t>
      </w:r>
      <w:hyperlink r:id="rId11">
        <w:r>
          <w:rPr>
            <w:color w:val="0563C1"/>
            <w:u w:val="single"/>
          </w:rPr>
          <w:t>https://datosabiertospj.poder-judicial.go.cr/dataset/estadisticas-policiales</w:t>
        </w:r>
      </w:hyperlink>
    </w:p>
    <w:p>
      <w:pPr>
        <w:spacing w:before="240" w:after="60" w:line="259" w:lineRule="auto"/>
      </w:pPr>
      <w:r>
        <w:rPr>
          <w:b/>
          <w:color w:val="0F3E57"/>
          <w:sz w:val="30"/>
        </w:rPr>
        <w:t>3. SICOP — Datos Abiertos de Contratación Pública</w:t>
      </w:r>
    </w:p>
    <w:p>
      <w:pPr>
        <w:spacing w:after="140" w:line="259" w:lineRule="auto"/>
      </w:pPr>
      <w:r>
        <w:rPr>
          <w:i/>
          <w:color w:val="505050"/>
          <w:sz w:val="21"/>
        </w:rPr>
        <w:t>Una de las fuentes más interesantes para transparencia, análisis de proveedores y gasto público.</w:t>
      </w:r>
    </w:p>
    <w:tbl>
      <w:tblPr>
        <w:tblW w:type="auto" w:w="0"/>
        <w:jc w:val="center"/>
        <w:tblLayout w:type="fixed"/>
        <w:tblLook w:firstColumn="1" w:firstRow="1" w:lastColumn="0" w:lastRow="0" w:noHBand="0" w:noVBand="1" w:val="04A0"/>
      </w:tblPr>
      <w:tblGrid>
        <w:gridCol w:w="1944"/>
        <w:gridCol w:w="8136"/>
      </w:tblGrid>
      <w:tr>
        <w:tc>
          <w:tcPr>
            <w:tcW w:type="dxa" w:w="1944"/>
            <w:shd w:fill="DDEBF7"/>
            <w:vAlign w:val="center"/>
            <w:tcMar>
              <w:top w:w="90" w:type="dxa"/>
              <w:start w:w="90" w:type="dxa"/>
              <w:bottom w:w="90" w:type="dxa"/>
              <w:end w:w="90" w:type="dxa"/>
            </w:tcMar>
          </w:tcPr>
          <w:p>
            <w:r>
              <w:rPr>
                <w:b/>
                <w:color w:val="0F3E57"/>
                <w:sz w:val="19"/>
              </w:rPr>
              <w:t>Qué ofrece</w:t>
            </w:r>
          </w:p>
        </w:tc>
        <w:tc>
          <w:tcPr>
            <w:tcW w:type="dxa" w:w="8136"/>
            <w:tcMar>
              <w:top w:w="90" w:type="dxa"/>
              <w:start w:w="90" w:type="dxa"/>
              <w:bottom w:w="90" w:type="dxa"/>
              <w:end w:w="90" w:type="dxa"/>
            </w:tcMar>
          </w:tcPr>
          <w:p>
            <w:r>
              <w:rPr>
                <w:sz w:val="19"/>
              </w:rPr>
              <w:t>El módulo de Datos Abiertos permite obtener información sobre solicitudes de contratación, pliegos, aclaraciones, recursos, ofertas, adjudicaciones, contratos, órdenes de pedido, instituciones compradoras, proveedores y catálogos de bienes y servicios.</w:t>
            </w:r>
          </w:p>
        </w:tc>
      </w:tr>
      <w:tr>
        <w:tc>
          <w:tcPr>
            <w:tcW w:type="dxa" w:w="1944"/>
            <w:shd w:fill="DDEBF7"/>
            <w:vAlign w:val="center"/>
            <w:tcMar>
              <w:top w:w="90" w:type="dxa"/>
              <w:start w:w="90" w:type="dxa"/>
              <w:bottom w:w="90" w:type="dxa"/>
              <w:end w:w="90" w:type="dxa"/>
            </w:tcMar>
          </w:tcPr>
          <w:p>
            <w:r>
              <w:rPr>
                <w:b/>
                <w:color w:val="0F3E57"/>
                <w:sz w:val="19"/>
              </w:rPr>
              <w:t>Cómo consumirla</w:t>
            </w:r>
          </w:p>
        </w:tc>
        <w:tc>
          <w:tcPr>
            <w:tcW w:type="dxa" w:w="8136"/>
            <w:tcMar>
              <w:top w:w="90" w:type="dxa"/>
              <w:start w:w="90" w:type="dxa"/>
              <w:bottom w:w="90" w:type="dxa"/>
              <w:end w:w="90" w:type="dxa"/>
            </w:tcMar>
          </w:tcPr>
          <w:p>
            <w:r>
              <w:rPr>
                <w:sz w:val="19"/>
              </w:rPr>
              <w:t>Los reportes pueden descargarse en Excel, JSON o CSV. El proyecto puede automatizar la descarga o importar archivos periódicamente, normalizarlos y construir búsquedas propias.</w:t>
            </w:r>
          </w:p>
        </w:tc>
      </w:tr>
      <w:tr>
        <w:tc>
          <w:tcPr>
            <w:tcW w:type="dxa" w:w="1944"/>
            <w:shd w:fill="DDEBF7"/>
            <w:vAlign w:val="center"/>
            <w:tcMar>
              <w:top w:w="90" w:type="dxa"/>
              <w:start w:w="90" w:type="dxa"/>
              <w:bottom w:w="90" w:type="dxa"/>
              <w:end w:w="90" w:type="dxa"/>
            </w:tcMar>
          </w:tcPr>
          <w:p>
            <w:r>
              <w:rPr>
                <w:b/>
                <w:color w:val="0F3E57"/>
                <w:sz w:val="19"/>
              </w:rPr>
              <w:t>Ideas para el sistema</w:t>
            </w:r>
          </w:p>
        </w:tc>
        <w:tc>
          <w:tcPr>
            <w:tcW w:type="dxa" w:w="8136"/>
            <w:tcMar>
              <w:top w:w="90" w:type="dxa"/>
              <w:start w:w="90" w:type="dxa"/>
              <w:bottom w:w="90" w:type="dxa"/>
              <w:end w:w="90" w:type="dxa"/>
            </w:tcMar>
          </w:tcPr>
          <w:p>
            <w:r>
              <w:rPr>
                <w:sz w:val="19"/>
              </w:rPr>
              <w:t>Buscador de proveedores; total contratado por institución; evolución anual; contratos por categoría; comparación de adjudicaciones; red institución → proveedor → contrato.</w:t>
            </w:r>
          </w:p>
        </w:tc>
      </w:tr>
    </w:tbl>
    <w:p>
      <w:pPr>
        <w:spacing w:before="80" w:after="40" w:line="259" w:lineRule="auto"/>
      </w:pPr>
      <w:r>
        <w:rPr>
          <w:b/>
          <w:color w:val="AD5F00"/>
          <w:sz w:val="19"/>
        </w:rPr>
        <w:t xml:space="preserve">Nota: </w:t>
      </w:r>
      <w:r>
        <w:rPr>
          <w:sz w:val="19"/>
        </w:rPr>
        <w:t>SICOP advierte que sus reportes de datos abiertos son una réplica y pueden tener hasta 24 horas de diferencia respecto del repositorio principal; el reporte de proveedores puede excluir registros de los últimos siete días.</w:t>
      </w:r>
    </w:p>
    <w:p>
      <w:pPr>
        <w:spacing w:after="160" w:line="259" w:lineRule="auto"/>
      </w:pPr>
      <w:r>
        <w:rPr>
          <w:b/>
          <w:sz w:val="18"/>
        </w:rPr>
        <w:t xml:space="preserve">Referencia oficial: </w:t>
      </w:r>
      <w:hyperlink r:id="rId12">
        <w:r>
          <w:rPr>
            <w:color w:val="0563C1"/>
            <w:u w:val="single"/>
          </w:rPr>
          <w:t>https://www.sicop.go.cr/moduloPcont/pcont/rp/CE_MOD_DATOSABIERTOSVIEW.jsp</w:t>
        </w:r>
      </w:hyperlink>
    </w:p>
    <w:p>
      <w:pPr>
        <w:spacing w:before="240" w:after="60" w:line="259" w:lineRule="auto"/>
      </w:pPr>
      <w:r>
        <w:rPr>
          <w:b/>
          <w:color w:val="0F3E57"/>
          <w:sz w:val="30"/>
        </w:rPr>
        <w:t>4. BCCR — Web Service de Indicadores Económicos</w:t>
      </w:r>
    </w:p>
    <w:p>
      <w:pPr>
        <w:spacing w:after="140" w:line="259" w:lineRule="auto"/>
      </w:pPr>
      <w:r>
        <w:rPr>
          <w:i/>
          <w:color w:val="505050"/>
          <w:sz w:val="21"/>
        </w:rPr>
        <w:t>Excelente para dashboards económicos y para aprender a integrar un servicio institucional que no necesariamente usa REST/JSON.</w:t>
      </w:r>
    </w:p>
    <w:tbl>
      <w:tblPr>
        <w:tblW w:type="auto" w:w="0"/>
        <w:jc w:val="center"/>
        <w:tblLayout w:type="fixed"/>
        <w:tblLook w:firstColumn="1" w:firstRow="1" w:lastColumn="0" w:lastRow="0" w:noHBand="0" w:noVBand="1" w:val="04A0"/>
      </w:tblPr>
      <w:tblGrid>
        <w:gridCol w:w="1944"/>
        <w:gridCol w:w="8136"/>
      </w:tblGrid>
      <w:tr>
        <w:tc>
          <w:tcPr>
            <w:tcW w:type="dxa" w:w="1944"/>
            <w:shd w:fill="DDEBF7"/>
            <w:vAlign w:val="center"/>
            <w:tcMar>
              <w:top w:w="90" w:type="dxa"/>
              <w:start w:w="90" w:type="dxa"/>
              <w:bottom w:w="90" w:type="dxa"/>
              <w:end w:w="90" w:type="dxa"/>
            </w:tcMar>
          </w:tcPr>
          <w:p>
            <w:r>
              <w:rPr>
                <w:b/>
                <w:color w:val="0F3E57"/>
                <w:sz w:val="19"/>
              </w:rPr>
              <w:t>Qué ofrece</w:t>
            </w:r>
          </w:p>
        </w:tc>
        <w:tc>
          <w:tcPr>
            <w:tcW w:type="dxa" w:w="8136"/>
            <w:tcMar>
              <w:top w:w="90" w:type="dxa"/>
              <w:start w:w="90" w:type="dxa"/>
              <w:bottom w:w="90" w:type="dxa"/>
              <w:end w:w="90" w:type="dxa"/>
            </w:tcMar>
          </w:tcPr>
          <w:p>
            <w:r>
              <w:rPr>
                <w:sz w:val="19"/>
              </w:rPr>
              <w:t>Permite consultar indicadores económicos del Banco Central por código y rango de fechas. Dependiendo del indicador, puede utilizarse para series como tipos de cambio u otras variables del catálogo público del BCCR.</w:t>
            </w:r>
          </w:p>
        </w:tc>
      </w:tr>
      <w:tr>
        <w:tc>
          <w:tcPr>
            <w:tcW w:type="dxa" w:w="1944"/>
            <w:shd w:fill="DDEBF7"/>
            <w:vAlign w:val="center"/>
            <w:tcMar>
              <w:top w:w="90" w:type="dxa"/>
              <w:start w:w="90" w:type="dxa"/>
              <w:bottom w:w="90" w:type="dxa"/>
              <w:end w:w="90" w:type="dxa"/>
            </w:tcMar>
          </w:tcPr>
          <w:p>
            <w:r>
              <w:rPr>
                <w:b/>
                <w:color w:val="0F3E57"/>
                <w:sz w:val="19"/>
              </w:rPr>
              <w:t>Cómo consumirla</w:t>
            </w:r>
          </w:p>
        </w:tc>
        <w:tc>
          <w:tcPr>
            <w:tcW w:type="dxa" w:w="8136"/>
            <w:tcMar>
              <w:top w:w="90" w:type="dxa"/>
              <w:start w:w="90" w:type="dxa"/>
              <w:bottom w:w="90" w:type="dxa"/>
              <w:end w:w="90" w:type="dxa"/>
            </w:tcMar>
          </w:tcPr>
          <w:p>
            <w:r>
              <w:rPr>
                <w:sz w:val="19"/>
              </w:rPr>
              <w:t>El BCCR mantiene un Web Service ASMX. Entre sus métodos se encuentra la obtención de indicadores como XML o DataSet. La documentación actual indica que la consulta requiere parámetros como código, fechas, nombre, correo y token de suscripción.</w:t>
            </w:r>
          </w:p>
        </w:tc>
      </w:tr>
      <w:tr>
        <w:tc>
          <w:tcPr>
            <w:tcW w:type="dxa" w:w="1944"/>
            <w:shd w:fill="DDEBF7"/>
            <w:vAlign w:val="center"/>
            <w:tcMar>
              <w:top w:w="90" w:type="dxa"/>
              <w:start w:w="90" w:type="dxa"/>
              <w:bottom w:w="90" w:type="dxa"/>
              <w:end w:w="90" w:type="dxa"/>
            </w:tcMar>
          </w:tcPr>
          <w:p>
            <w:r>
              <w:rPr>
                <w:b/>
                <w:color w:val="0F3E57"/>
                <w:sz w:val="19"/>
              </w:rPr>
              <w:t>Ideas para el sistema</w:t>
            </w:r>
          </w:p>
        </w:tc>
        <w:tc>
          <w:tcPr>
            <w:tcW w:type="dxa" w:w="8136"/>
            <w:tcMar>
              <w:top w:w="90" w:type="dxa"/>
              <w:start w:w="90" w:type="dxa"/>
              <w:bottom w:w="90" w:type="dxa"/>
              <w:end w:w="90" w:type="dxa"/>
            </w:tcMar>
          </w:tcPr>
          <w:p>
            <w:r>
              <w:rPr>
                <w:sz w:val="19"/>
              </w:rPr>
              <w:t>Gráficos históricos; dashboard económico; comparación de períodos; conversión XML → modelo interno; caché diario de indicadores para evitar llamadas innecesarias.</w:t>
            </w:r>
          </w:p>
        </w:tc>
      </w:tr>
    </w:tbl>
    <w:p>
      <w:pPr>
        <w:spacing w:before="80" w:after="40" w:line="259" w:lineRule="auto"/>
      </w:pPr>
      <w:r>
        <w:rPr>
          <w:b/>
          <w:color w:val="AD5F00"/>
          <w:sz w:val="19"/>
        </w:rPr>
        <w:t xml:space="preserve">Nota: </w:t>
      </w:r>
      <w:r>
        <w:rPr>
          <w:sz w:val="19"/>
        </w:rPr>
        <w:t>Es mejor consumirlo desde backend y guardar una copia normalizada. No se deben exponer tokens o credenciales en el frontend.</w:t>
      </w:r>
    </w:p>
    <w:p>
      <w:pPr>
        <w:spacing w:after="160" w:line="259" w:lineRule="auto"/>
      </w:pPr>
      <w:r>
        <w:rPr>
          <w:b/>
          <w:sz w:val="18"/>
        </w:rPr>
        <w:t xml:space="preserve">Referencia oficial: </w:t>
      </w:r>
      <w:hyperlink r:id="rId13">
        <w:r>
          <w:rPr>
            <w:color w:val="0563C1"/>
            <w:u w:val="single"/>
          </w:rPr>
          <w:t>https://gee.bccr.fi.cr/Indicadores/Suscripciones/WS/wsindicadoreseconomicos.asmx</w:t>
        </w:r>
      </w:hyperlink>
    </w:p>
    <w:p>
      <w:pPr>
        <w:spacing w:before="240" w:after="60" w:line="259" w:lineRule="auto"/>
      </w:pPr>
      <w:r>
        <w:rPr>
          <w:b/>
          <w:color w:val="0F3E57"/>
          <w:sz w:val="30"/>
        </w:rPr>
        <w:t>5. TSE — Padrón Nacional Electoral y datos electorales</w:t>
      </w:r>
    </w:p>
    <w:p>
      <w:pPr>
        <w:spacing w:after="140" w:line="259" w:lineRule="auto"/>
      </w:pPr>
      <w:r>
        <w:rPr>
          <w:i/>
          <w:color w:val="505050"/>
          <w:sz w:val="21"/>
        </w:rPr>
        <w:t>Ejemplo de una fuente pública que se integra mejor como procesamiento batch que como API en tiempo real.</w:t>
      </w:r>
    </w:p>
    <w:tbl>
      <w:tblPr>
        <w:tblW w:type="auto" w:w="0"/>
        <w:jc w:val="center"/>
        <w:tblLayout w:type="fixed"/>
        <w:tblLook w:firstColumn="1" w:firstRow="1" w:lastColumn="0" w:lastRow="0" w:noHBand="0" w:noVBand="1" w:val="04A0"/>
      </w:tblPr>
      <w:tblGrid>
        <w:gridCol w:w="1944"/>
        <w:gridCol w:w="8136"/>
      </w:tblGrid>
      <w:tr>
        <w:tc>
          <w:tcPr>
            <w:tcW w:type="dxa" w:w="1944"/>
            <w:shd w:fill="DDEBF7"/>
            <w:vAlign w:val="center"/>
            <w:tcMar>
              <w:top w:w="90" w:type="dxa"/>
              <w:start w:w="90" w:type="dxa"/>
              <w:bottom w:w="90" w:type="dxa"/>
              <w:end w:w="90" w:type="dxa"/>
            </w:tcMar>
          </w:tcPr>
          <w:p>
            <w:r>
              <w:rPr>
                <w:b/>
                <w:color w:val="0F3E57"/>
                <w:sz w:val="19"/>
              </w:rPr>
              <w:t>Qué ofrece</w:t>
            </w:r>
          </w:p>
        </w:tc>
        <w:tc>
          <w:tcPr>
            <w:tcW w:type="dxa" w:w="8136"/>
            <w:tcMar>
              <w:top w:w="90" w:type="dxa"/>
              <w:start w:w="90" w:type="dxa"/>
              <w:bottom w:w="90" w:type="dxa"/>
              <w:end w:w="90" w:type="dxa"/>
            </w:tcMar>
          </w:tcPr>
          <w:p>
            <w:r>
              <w:rPr>
                <w:sz w:val="19"/>
              </w:rPr>
              <w:t>El TSE publica mensualmente el Padrón Nacional Electoral en modalidad completa, por provincia y por cantón. La descarga comprimida incluye PADRON.TXT, DISTELEC.TXT y LEAME.TXT; también publica información estadística electoral.</w:t>
            </w:r>
          </w:p>
        </w:tc>
      </w:tr>
      <w:tr>
        <w:tc>
          <w:tcPr>
            <w:tcW w:type="dxa" w:w="1944"/>
            <w:shd w:fill="DDEBF7"/>
            <w:vAlign w:val="center"/>
            <w:tcMar>
              <w:top w:w="90" w:type="dxa"/>
              <w:start w:w="90" w:type="dxa"/>
              <w:bottom w:w="90" w:type="dxa"/>
              <w:end w:w="90" w:type="dxa"/>
            </w:tcMar>
          </w:tcPr>
          <w:p>
            <w:r>
              <w:rPr>
                <w:b/>
                <w:color w:val="0F3E57"/>
                <w:sz w:val="19"/>
              </w:rPr>
              <w:t>Cómo consumirla</w:t>
            </w:r>
          </w:p>
        </w:tc>
        <w:tc>
          <w:tcPr>
            <w:tcW w:type="dxa" w:w="8136"/>
            <w:tcMar>
              <w:top w:w="90" w:type="dxa"/>
              <w:start w:w="90" w:type="dxa"/>
              <w:bottom w:w="90" w:type="dxa"/>
              <w:end w:w="90" w:type="dxa"/>
            </w:tcMar>
          </w:tcPr>
          <w:p>
            <w:r>
              <w:rPr>
                <w:sz w:val="19"/>
              </w:rPr>
              <w:t>El sistema puede descargar el ZIP, extraer los TXT, interpretarlos según LEAME.TXT y cargar únicamente la información necesaria a una base de datos. Esto permite practicar ETL: Extract, Transform, Load.</w:t>
            </w:r>
          </w:p>
        </w:tc>
      </w:tr>
      <w:tr>
        <w:tc>
          <w:tcPr>
            <w:tcW w:type="dxa" w:w="1944"/>
            <w:shd w:fill="DDEBF7"/>
            <w:vAlign w:val="center"/>
            <w:tcMar>
              <w:top w:w="90" w:type="dxa"/>
              <w:start w:w="90" w:type="dxa"/>
              <w:bottom w:w="90" w:type="dxa"/>
              <w:end w:w="90" w:type="dxa"/>
            </w:tcMar>
          </w:tcPr>
          <w:p>
            <w:r>
              <w:rPr>
                <w:b/>
                <w:color w:val="0F3E57"/>
                <w:sz w:val="19"/>
              </w:rPr>
              <w:t>Ideas para el sistema</w:t>
            </w:r>
          </w:p>
        </w:tc>
        <w:tc>
          <w:tcPr>
            <w:tcW w:type="dxa" w:w="8136"/>
            <w:tcMar>
              <w:top w:w="90" w:type="dxa"/>
              <w:start w:w="90" w:type="dxa"/>
              <w:bottom w:w="90" w:type="dxa"/>
              <w:end w:w="90" w:type="dxa"/>
            </w:tcMar>
          </w:tcPr>
          <w:p>
            <w:r>
              <w:rPr>
                <w:sz w:val="19"/>
              </w:rPr>
              <w:t>Estadísticas agregadas por cantón o distrito electoral; evolución del padrón; visualización territorial; procesos de importación batch y validación de archivos.</w:t>
            </w:r>
          </w:p>
        </w:tc>
      </w:tr>
    </w:tbl>
    <w:p>
      <w:pPr>
        <w:spacing w:before="80" w:after="40" w:line="259" w:lineRule="auto"/>
      </w:pPr>
      <w:r>
        <w:rPr>
          <w:b/>
          <w:color w:val="AD5F00"/>
          <w:sz w:val="19"/>
        </w:rPr>
        <w:t xml:space="preserve">Nota: </w:t>
      </w:r>
      <w:r>
        <w:rPr>
          <w:sz w:val="19"/>
        </w:rPr>
        <w:t>Esta fuente contiene datos de personas. Para un proyecto académico se recomienda trabajar con agregaciones y estadísticas, no construir buscadores o perfiles individuales. El equipo debe considerar privacidad, finalidad y normativa de protección de datos.</w:t>
      </w:r>
    </w:p>
    <w:p>
      <w:pPr>
        <w:spacing w:after="160" w:line="259" w:lineRule="auto"/>
      </w:pPr>
      <w:r>
        <w:rPr>
          <w:b/>
          <w:sz w:val="18"/>
        </w:rPr>
        <w:t xml:space="preserve">Referencia oficial: </w:t>
      </w:r>
      <w:hyperlink r:id="rId14">
        <w:r>
          <w:rPr>
            <w:color w:val="0563C1"/>
            <w:u w:val="single"/>
          </w:rPr>
          <w:t>https://www.tse.go.cr/descarga_padron.html</w:t>
        </w:r>
      </w:hyperlink>
    </w:p>
    <w:p>
      <w:pPr>
        <w:spacing w:before="240" w:after="60" w:line="259" w:lineRule="auto"/>
      </w:pPr>
      <w:r>
        <w:rPr>
          <w:b/>
          <w:color w:val="0F3E57"/>
          <w:sz w:val="30"/>
        </w:rPr>
        <w:t>6. Portal Nacional de Datos Abiertos de Costa Rica</w:t>
      </w:r>
    </w:p>
    <w:p>
      <w:pPr>
        <w:spacing w:after="140" w:line="259" w:lineRule="auto"/>
      </w:pPr>
      <w:r>
        <w:rPr>
          <w:i/>
          <w:color w:val="505050"/>
          <w:sz w:val="21"/>
        </w:rPr>
        <w:t>Un buen punto de partida cuando el equipo quiere descubrir datasets de diferentes instituciones sin limitarse a un único tema.</w:t>
      </w:r>
    </w:p>
    <w:tbl>
      <w:tblPr>
        <w:tblW w:type="auto" w:w="0"/>
        <w:jc w:val="center"/>
        <w:tblLayout w:type="fixed"/>
        <w:tblLook w:firstColumn="1" w:firstRow="1" w:lastColumn="0" w:lastRow="0" w:noHBand="0" w:noVBand="1" w:val="04A0"/>
      </w:tblPr>
      <w:tblGrid>
        <w:gridCol w:w="1944"/>
        <w:gridCol w:w="8136"/>
      </w:tblGrid>
      <w:tr>
        <w:tc>
          <w:tcPr>
            <w:tcW w:type="dxa" w:w="1944"/>
            <w:shd w:fill="DDEBF7"/>
            <w:vAlign w:val="center"/>
            <w:tcMar>
              <w:top w:w="90" w:type="dxa"/>
              <w:start w:w="90" w:type="dxa"/>
              <w:bottom w:w="90" w:type="dxa"/>
              <w:end w:w="90" w:type="dxa"/>
            </w:tcMar>
          </w:tcPr>
          <w:p>
            <w:r>
              <w:rPr>
                <w:b/>
                <w:color w:val="0F3E57"/>
                <w:sz w:val="19"/>
              </w:rPr>
              <w:t>Qué ofrece</w:t>
            </w:r>
          </w:p>
        </w:tc>
        <w:tc>
          <w:tcPr>
            <w:tcW w:type="dxa" w:w="8136"/>
            <w:tcMar>
              <w:top w:w="90" w:type="dxa"/>
              <w:start w:w="90" w:type="dxa"/>
              <w:bottom w:w="90" w:type="dxa"/>
              <w:end w:w="90" w:type="dxa"/>
            </w:tcMar>
          </w:tcPr>
          <w:p>
            <w:r>
              <w:rPr>
                <w:sz w:val="19"/>
              </w:rPr>
              <w:t>El Portal Nacional de Datos Abiertos permite buscar y descargar conjuntos para reutilización. Actualmente organiza información en áreas como ambiente, contrataciones públicas, economía y otras categorías, y está implementado sobre CKAN.</w:t>
            </w:r>
          </w:p>
        </w:tc>
      </w:tr>
      <w:tr>
        <w:tc>
          <w:tcPr>
            <w:tcW w:type="dxa" w:w="1944"/>
            <w:shd w:fill="DDEBF7"/>
            <w:vAlign w:val="center"/>
            <w:tcMar>
              <w:top w:w="90" w:type="dxa"/>
              <w:start w:w="90" w:type="dxa"/>
              <w:bottom w:w="90" w:type="dxa"/>
              <w:end w:w="90" w:type="dxa"/>
            </w:tcMar>
          </w:tcPr>
          <w:p>
            <w:r>
              <w:rPr>
                <w:b/>
                <w:color w:val="0F3E57"/>
                <w:sz w:val="19"/>
              </w:rPr>
              <w:t>Cómo consumirla</w:t>
            </w:r>
          </w:p>
        </w:tc>
        <w:tc>
          <w:tcPr>
            <w:tcW w:type="dxa" w:w="8136"/>
            <w:tcMar>
              <w:top w:w="90" w:type="dxa"/>
              <w:start w:w="90" w:type="dxa"/>
              <w:bottom w:w="90" w:type="dxa"/>
              <w:end w:w="90" w:type="dxa"/>
            </w:tcMar>
          </w:tcPr>
          <w:p>
            <w:r>
              <w:rPr>
                <w:sz w:val="19"/>
              </w:rPr>
              <w:t>Según el dataset, el recurso puede estar disponible como archivo estructurado o mediante capacidades propias de CKAN. El estudiante debe revisar el formato y la licencia de cada conjunto seleccionado antes de diseñar la integración.</w:t>
            </w:r>
          </w:p>
        </w:tc>
      </w:tr>
      <w:tr>
        <w:tc>
          <w:tcPr>
            <w:tcW w:type="dxa" w:w="1944"/>
            <w:shd w:fill="DDEBF7"/>
            <w:vAlign w:val="center"/>
            <w:tcMar>
              <w:top w:w="90" w:type="dxa"/>
              <w:start w:w="90" w:type="dxa"/>
              <w:bottom w:w="90" w:type="dxa"/>
              <w:end w:w="90" w:type="dxa"/>
            </w:tcMar>
          </w:tcPr>
          <w:p>
            <w:r>
              <w:rPr>
                <w:b/>
                <w:color w:val="0F3E57"/>
                <w:sz w:val="19"/>
              </w:rPr>
              <w:t>Ideas para el sistema</w:t>
            </w:r>
          </w:p>
        </w:tc>
        <w:tc>
          <w:tcPr>
            <w:tcW w:type="dxa" w:w="8136"/>
            <w:tcMar>
              <w:top w:w="90" w:type="dxa"/>
              <w:start w:w="90" w:type="dxa"/>
              <w:bottom w:w="90" w:type="dxa"/>
              <w:end w:w="90" w:type="dxa"/>
            </w:tcMar>
          </w:tcPr>
          <w:p>
            <w:r>
              <w:rPr>
                <w:sz w:val="19"/>
              </w:rPr>
              <w:t>Catálogo de datasets; comparadores; dashboards sectoriales; integración de presupuesto, economía, ambiente u otros conjuntos; buscador interno con metadatos de las fuentes.</w:t>
            </w:r>
          </w:p>
        </w:tc>
      </w:tr>
    </w:tbl>
    <w:p>
      <w:pPr>
        <w:spacing w:before="80" w:after="40" w:line="259" w:lineRule="auto"/>
      </w:pPr>
      <w:r>
        <w:rPr>
          <w:b/>
          <w:color w:val="AD5F00"/>
          <w:sz w:val="19"/>
        </w:rPr>
        <w:t xml:space="preserve">Nota: </w:t>
      </w:r>
      <w:r>
        <w:rPr>
          <w:sz w:val="19"/>
        </w:rPr>
        <w:t>“Portal Nacional de Datos Abiertos” es un catálogo; dos estudiantes no deberían presentar dos archivos del mismo dataset como si fueran dos fuentes distintas. Debe existir una diferenciación real entre las integraciones.</w:t>
      </w:r>
    </w:p>
    <w:p>
      <w:pPr>
        <w:spacing w:after="160" w:line="259" w:lineRule="auto"/>
      </w:pPr>
      <w:r>
        <w:rPr>
          <w:b/>
          <w:sz w:val="18"/>
        </w:rPr>
        <w:t xml:space="preserve">Referencia oficial: </w:t>
      </w:r>
      <w:hyperlink r:id="rId15">
        <w:r>
          <w:rPr>
            <w:color w:val="0563C1"/>
            <w:u w:val="single"/>
          </w:rPr>
          <w:t>https://datosabiertos.gob.go.cr/</w:t>
        </w:r>
      </w:hyperlink>
    </w:p>
    <w:p>
      <w:pPr>
        <w:spacing w:before="240" w:after="60" w:line="259" w:lineRule="auto"/>
      </w:pPr>
      <w:r>
        <w:rPr>
          <w:b/>
          <w:color w:val="0F3E57"/>
          <w:sz w:val="30"/>
        </w:rPr>
        <w:t>7. OpenStreetMap + Overpass API</w:t>
      </w:r>
    </w:p>
    <w:p>
      <w:pPr>
        <w:spacing w:after="140" w:line="259" w:lineRule="auto"/>
      </w:pPr>
      <w:r>
        <w:rPr>
          <w:i/>
          <w:color w:val="505050"/>
          <w:sz w:val="21"/>
        </w:rPr>
        <w:t>No es una fuente gubernamental costarricense, pero es extremadamente útil para obtener información abierta sobre lugares y objetos geográficos en Costa Rica.</w:t>
      </w:r>
    </w:p>
    <w:tbl>
      <w:tblPr>
        <w:tblW w:type="auto" w:w="0"/>
        <w:jc w:val="center"/>
        <w:tblLayout w:type="fixed"/>
        <w:tblLook w:firstColumn="1" w:firstRow="1" w:lastColumn="0" w:lastRow="0" w:noHBand="0" w:noVBand="1" w:val="04A0"/>
      </w:tblPr>
      <w:tblGrid>
        <w:gridCol w:w="1944"/>
        <w:gridCol w:w="8136"/>
      </w:tblGrid>
      <w:tr>
        <w:tc>
          <w:tcPr>
            <w:tcW w:type="dxa" w:w="1944"/>
            <w:shd w:fill="DDEBF7"/>
            <w:vAlign w:val="center"/>
            <w:tcMar>
              <w:top w:w="90" w:type="dxa"/>
              <w:start w:w="90" w:type="dxa"/>
              <w:bottom w:w="90" w:type="dxa"/>
              <w:end w:w="90" w:type="dxa"/>
            </w:tcMar>
          </w:tcPr>
          <w:p>
            <w:r>
              <w:rPr>
                <w:b/>
                <w:color w:val="0F3E57"/>
                <w:sz w:val="19"/>
              </w:rPr>
              <w:t>Qué ofrece</w:t>
            </w:r>
          </w:p>
        </w:tc>
        <w:tc>
          <w:tcPr>
            <w:tcW w:type="dxa" w:w="8136"/>
            <w:tcMar>
              <w:top w:w="90" w:type="dxa"/>
              <w:start w:w="90" w:type="dxa"/>
              <w:bottom w:w="90" w:type="dxa"/>
              <w:end w:w="90" w:type="dxa"/>
            </w:tcMar>
          </w:tcPr>
          <w:p>
            <w:r>
              <w:rPr>
                <w:sz w:val="19"/>
              </w:rPr>
              <w:t>OpenStreetMap contiene elementos como carreteras, edificios, hospitales, escuelas, comercios, hoteles, farmacias y otros puntos de interés, según la cobertura aportada por la comunidad.</w:t>
            </w:r>
          </w:p>
        </w:tc>
      </w:tr>
      <w:tr>
        <w:tc>
          <w:tcPr>
            <w:tcW w:type="dxa" w:w="1944"/>
            <w:shd w:fill="DDEBF7"/>
            <w:vAlign w:val="center"/>
            <w:tcMar>
              <w:top w:w="90" w:type="dxa"/>
              <w:start w:w="90" w:type="dxa"/>
              <w:bottom w:w="90" w:type="dxa"/>
              <w:end w:w="90" w:type="dxa"/>
            </w:tcMar>
          </w:tcPr>
          <w:p>
            <w:r>
              <w:rPr>
                <w:b/>
                <w:color w:val="0F3E57"/>
                <w:sz w:val="19"/>
              </w:rPr>
              <w:t>Cómo consumirla</w:t>
            </w:r>
          </w:p>
        </w:tc>
        <w:tc>
          <w:tcPr>
            <w:tcW w:type="dxa" w:w="8136"/>
            <w:tcMar>
              <w:top w:w="90" w:type="dxa"/>
              <w:start w:w="90" w:type="dxa"/>
              <w:bottom w:w="90" w:type="dxa"/>
              <w:end w:w="90" w:type="dxa"/>
            </w:tcMar>
          </w:tcPr>
          <w:p>
            <w:r>
              <w:rPr>
                <w:sz w:val="19"/>
              </w:rPr>
              <w:t>Overpass API es una API de solo lectura optimizada para consultar subconjuntos de OpenStreetMap mediante criterios como ubicación, tipo de objeto, etiquetas o proximidad. Puede devolver datos, incluyendo JSON, para ser procesados por una aplicación.</w:t>
            </w:r>
          </w:p>
        </w:tc>
      </w:tr>
      <w:tr>
        <w:tc>
          <w:tcPr>
            <w:tcW w:type="dxa" w:w="1944"/>
            <w:shd w:fill="DDEBF7"/>
            <w:vAlign w:val="center"/>
            <w:tcMar>
              <w:top w:w="90" w:type="dxa"/>
              <w:start w:w="90" w:type="dxa"/>
              <w:bottom w:w="90" w:type="dxa"/>
              <w:end w:w="90" w:type="dxa"/>
            </w:tcMar>
          </w:tcPr>
          <w:p>
            <w:r>
              <w:rPr>
                <w:b/>
                <w:color w:val="0F3E57"/>
                <w:sz w:val="19"/>
              </w:rPr>
              <w:t>Ideas para el sistema</w:t>
            </w:r>
          </w:p>
        </w:tc>
        <w:tc>
          <w:tcPr>
            <w:tcW w:type="dxa" w:w="8136"/>
            <w:tcMar>
              <w:top w:w="90" w:type="dxa"/>
              <w:start w:w="90" w:type="dxa"/>
              <w:bottom w:w="90" w:type="dxa"/>
              <w:end w:w="90" w:type="dxa"/>
            </w:tcMar>
          </w:tcPr>
          <w:p>
            <w:r>
              <w:rPr>
                <w:sz w:val="19"/>
              </w:rPr>
              <w:t>Hospitales cercanos; inventario de servicios por cantón; puntos de interés; cruces OSM + SNIT; mapas interactivos con Leaflet o MapLibre; comparación de infraestructura entre zonas.</w:t>
            </w:r>
          </w:p>
        </w:tc>
      </w:tr>
    </w:tbl>
    <w:p>
      <w:pPr>
        <w:spacing w:before="80" w:after="40" w:line="259" w:lineRule="auto"/>
      </w:pPr>
      <w:r>
        <w:rPr>
          <w:b/>
          <w:color w:val="AD5F00"/>
          <w:sz w:val="19"/>
        </w:rPr>
        <w:t xml:space="preserve">Nota: </w:t>
      </w:r>
      <w:r>
        <w:rPr>
          <w:sz w:val="19"/>
        </w:rPr>
        <w:t>Las instancias públicas de Overpass tienen recursos limitados. Las consultas deben ser razonables y el proyecto debería implementar caché cuando corresponda.</w:t>
      </w:r>
    </w:p>
    <w:p>
      <w:pPr>
        <w:spacing w:after="160" w:line="259" w:lineRule="auto"/>
      </w:pPr>
      <w:r>
        <w:rPr>
          <w:b/>
          <w:sz w:val="18"/>
        </w:rPr>
        <w:t xml:space="preserve">Referencia oficial: </w:t>
      </w:r>
      <w:hyperlink r:id="rId16">
        <w:r>
          <w:rPr>
            <w:color w:val="0563C1"/>
            <w:u w:val="single"/>
          </w:rPr>
          <w:t>https://wiki.openstreetmap.org/wiki/Overpass_API</w:t>
        </w:r>
      </w:hyperlink>
    </w:p>
    <w:p>
      <w:pPr>
        <w:pStyle w:val="Heading1"/>
      </w:pPr>
      <w:r>
        <w:t>6. ¿Qué se considera una integración válida?</w:t>
      </w:r>
    </w:p>
    <w:p>
      <w:pPr>
        <w:spacing w:line="259" w:lineRule="auto" w:after="100"/>
      </w:pPr>
      <w:r>
        <w:t>La idea del trabajo es desarrollar software, no construir un directorio de enlaces. Cada fuente debe participar realmente en el funcionamiento del sistema.</w:t>
      </w:r>
    </w:p>
    <w:tbl>
      <w:tblPr>
        <w:tblStyle w:val="TableGrid"/>
        <w:tblW w:type="auto" w:w="0"/>
        <w:jc w:val="center"/>
        <w:tblLook w:firstColumn="1" w:firstRow="1" w:lastColumn="0" w:lastRow="0" w:noHBand="0" w:noVBand="1" w:val="04A0"/>
      </w:tblPr>
      <w:tblGrid>
        <w:gridCol w:w="4968"/>
        <w:gridCol w:w="4968"/>
      </w:tblGrid>
      <w:tr>
        <w:tc>
          <w:tcPr>
            <w:tcW w:type="dxa" w:w="4968"/>
            <w:shd w:fill="E2F0D9"/>
          </w:tcPr>
          <w:p>
            <w:pPr>
              <w:jc w:val="center"/>
            </w:pPr>
            <w:r>
              <w:rPr>
                <w:b/>
                <w:sz w:val="21"/>
              </w:rPr>
              <w:t>Sí cuenta</w:t>
            </w:r>
          </w:p>
        </w:tc>
        <w:tc>
          <w:tcPr>
            <w:tcW w:type="dxa" w:w="4968"/>
            <w:shd w:fill="FCE4D6"/>
          </w:tcPr>
          <w:p>
            <w:pPr>
              <w:jc w:val="center"/>
            </w:pPr>
            <w:r>
              <w:rPr>
                <w:b/>
                <w:sz w:val="21"/>
              </w:rPr>
              <w:t>No es suficiente</w:t>
            </w:r>
          </w:p>
        </w:tc>
      </w:tr>
      <w:tr>
        <w:tc>
          <w:tcPr>
            <w:tcW w:type="dxa" w:w="4968"/>
            <w:tcMar>
              <w:top w:w="100" w:type="dxa"/>
              <w:start w:w="100" w:type="dxa"/>
              <w:bottom w:w="100" w:type="dxa"/>
              <w:end w:w="100" w:type="dxa"/>
            </w:tcMar>
          </w:tcPr>
          <w:p>
            <w:r>
              <w:rPr>
                <w:sz w:val="19"/>
              </w:rPr>
              <w:t>El backend consulta WFS de SNIT y devuelve GeoJSON normalizado.</w:t>
            </w:r>
          </w:p>
        </w:tc>
        <w:tc>
          <w:tcPr>
            <w:tcW w:type="dxa" w:w="4968"/>
            <w:tcMar>
              <w:top w:w="100" w:type="dxa"/>
              <w:start w:w="100" w:type="dxa"/>
              <w:bottom w:w="100" w:type="dxa"/>
              <w:end w:w="100" w:type="dxa"/>
            </w:tcMar>
          </w:tcPr>
          <w:p>
            <w:r>
              <w:rPr>
                <w:sz w:val="19"/>
              </w:rPr>
              <w:t>Agregar un botón que abre el sitio de SNIT.</w:t>
            </w:r>
          </w:p>
        </w:tc>
      </w:tr>
      <w:tr>
        <w:tc>
          <w:tcPr>
            <w:tcW w:type="dxa" w:w="4968"/>
            <w:tcMar>
              <w:top w:w="100" w:type="dxa"/>
              <w:start w:w="100" w:type="dxa"/>
              <w:bottom w:w="100" w:type="dxa"/>
              <w:end w:w="100" w:type="dxa"/>
            </w:tcMar>
          </w:tcPr>
          <w:p>
            <w:r>
              <w:rPr>
                <w:sz w:val="19"/>
              </w:rPr>
              <w:t>Se importa un CSV del OIJ y se construyen filtros y gráficos.</w:t>
            </w:r>
          </w:p>
        </w:tc>
        <w:tc>
          <w:tcPr>
            <w:tcW w:type="dxa" w:w="4968"/>
            <w:tcMar>
              <w:top w:w="100" w:type="dxa"/>
              <w:start w:w="100" w:type="dxa"/>
              <w:bottom w:w="100" w:type="dxa"/>
              <w:end w:w="100" w:type="dxa"/>
            </w:tcMar>
          </w:tcPr>
          <w:p>
            <w:r>
              <w:rPr>
                <w:sz w:val="19"/>
              </w:rPr>
              <w:t>Descargar manualmente el CSV y mostrar una captura.</w:t>
            </w:r>
          </w:p>
        </w:tc>
      </w:tr>
      <w:tr>
        <w:tc>
          <w:tcPr>
            <w:tcW w:type="dxa" w:w="4968"/>
            <w:tcMar>
              <w:top w:w="100" w:type="dxa"/>
              <w:start w:w="100" w:type="dxa"/>
              <w:bottom w:w="100" w:type="dxa"/>
              <w:end w:w="100" w:type="dxa"/>
            </w:tcMar>
          </w:tcPr>
          <w:p>
            <w:r>
              <w:rPr>
                <w:sz w:val="19"/>
              </w:rPr>
              <w:t>Se consume el Web Service del BCCR y se guarda una serie histórica.</w:t>
            </w:r>
          </w:p>
        </w:tc>
        <w:tc>
          <w:tcPr>
            <w:tcW w:type="dxa" w:w="4968"/>
            <w:tcMar>
              <w:top w:w="100" w:type="dxa"/>
              <w:start w:w="100" w:type="dxa"/>
              <w:bottom w:w="100" w:type="dxa"/>
              <w:end w:w="100" w:type="dxa"/>
            </w:tcMar>
          </w:tcPr>
          <w:p>
            <w:r>
              <w:rPr>
                <w:sz w:val="19"/>
              </w:rPr>
              <w:t>Copiar el tipo de cambio como texto en la página.</w:t>
            </w:r>
          </w:p>
        </w:tc>
      </w:tr>
      <w:tr>
        <w:tc>
          <w:tcPr>
            <w:tcW w:type="dxa" w:w="4968"/>
            <w:tcMar>
              <w:top w:w="100" w:type="dxa"/>
              <w:start w:w="100" w:type="dxa"/>
              <w:bottom w:w="100" w:type="dxa"/>
              <w:end w:w="100" w:type="dxa"/>
            </w:tcMar>
          </w:tcPr>
          <w:p>
            <w:r>
              <w:rPr>
                <w:sz w:val="19"/>
              </w:rPr>
              <w:t>Se procesan contratos de SICOP para calcular indicadores propios.</w:t>
            </w:r>
          </w:p>
        </w:tc>
        <w:tc>
          <w:tcPr>
            <w:tcW w:type="dxa" w:w="4968"/>
            <w:tcMar>
              <w:top w:w="100" w:type="dxa"/>
              <w:start w:w="100" w:type="dxa"/>
              <w:bottom w:w="100" w:type="dxa"/>
              <w:end w:w="100" w:type="dxa"/>
            </w:tcMar>
          </w:tcPr>
          <w:p>
            <w:r>
              <w:rPr>
                <w:sz w:val="19"/>
              </w:rPr>
              <w:t>Mostrar el iframe o enlace de SICOP sin procesar datos.</w:t>
            </w:r>
          </w:p>
        </w:tc>
      </w:tr>
    </w:tbl>
    <w:p>
      <w:pPr>
        <w:pStyle w:val="Heading1"/>
      </w:pPr>
      <w:r>
        <w:t>7. Entregables</w:t>
      </w:r>
    </w:p>
    <w:p>
      <w:pPr>
        <w:pStyle w:val="Heading2"/>
      </w:pPr>
      <w:r>
        <w:t>7.1 Repositorio GitHub</w:t>
      </w:r>
    </w:p>
    <w:p>
      <w:pPr>
        <w:pStyle w:val="ListBullet"/>
        <w:spacing w:after="60"/>
      </w:pPr>
      <w:r>
        <w:rPr>
          <w:sz w:val="21"/>
        </w:rPr>
        <w:t>Código fuente completo del proyecto.</w:t>
      </w:r>
    </w:p>
    <w:p>
      <w:pPr>
        <w:pStyle w:val="ListBullet"/>
        <w:spacing w:after="60"/>
      </w:pPr>
      <w:r>
        <w:rPr>
          <w:sz w:val="21"/>
        </w:rPr>
        <w:t>README con instrucciones claras para ejecutar el sistema.</w:t>
      </w:r>
    </w:p>
    <w:p>
      <w:pPr>
        <w:pStyle w:val="ListBullet"/>
        <w:spacing w:after="60"/>
      </w:pPr>
      <w:r>
        <w:rPr>
          <w:sz w:val="21"/>
        </w:rPr>
        <w:t>Descripción del problema y objetivo de la solución.</w:t>
      </w:r>
    </w:p>
    <w:p>
      <w:pPr>
        <w:pStyle w:val="ListBullet"/>
        <w:spacing w:after="60"/>
      </w:pPr>
      <w:r>
        <w:rPr>
          <w:sz w:val="21"/>
        </w:rPr>
        <w:t>Lista de fuentes OSINT utilizadas y enlace oficial de cada una.</w:t>
      </w:r>
    </w:p>
    <w:p>
      <w:pPr>
        <w:pStyle w:val="ListBullet"/>
        <w:spacing w:after="60"/>
      </w:pPr>
      <w:r>
        <w:rPr>
          <w:sz w:val="21"/>
        </w:rPr>
        <w:t>Integrante responsable de cada fuente.</w:t>
      </w:r>
    </w:p>
    <w:p>
      <w:pPr>
        <w:pStyle w:val="ListBullet"/>
        <w:spacing w:after="60"/>
      </w:pPr>
      <w:r>
        <w:rPr>
          <w:sz w:val="21"/>
        </w:rPr>
        <w:t>Descripción breve de cómo se consume cada fuente: endpoint, archivo, protocolo o mecanismo utilizado.</w:t>
      </w:r>
    </w:p>
    <w:p>
      <w:pPr>
        <w:pStyle w:val="ListBullet"/>
        <w:spacing w:after="60"/>
      </w:pPr>
      <w:r>
        <w:rPr>
          <w:sz w:val="21"/>
        </w:rPr>
        <w:t>Tecnologías y arquitectura general.</w:t>
      </w:r>
    </w:p>
    <w:p>
      <w:pPr>
        <w:pStyle w:val="ListBullet"/>
        <w:spacing w:after="60"/>
      </w:pPr>
      <w:r>
        <w:rPr>
          <w:sz w:val="21"/>
        </w:rPr>
        <w:t>Variables de entorno documentadas sin publicar secretos reales.</w:t>
      </w:r>
    </w:p>
    <w:p>
      <w:pPr>
        <w:pStyle w:val="Heading2"/>
      </w:pPr>
      <w:r>
        <w:t>7.2 Exposición técnica y demostración</w:t>
      </w:r>
    </w:p>
    <w:p>
      <w:pPr>
        <w:pStyle w:val="ListBullet"/>
        <w:spacing w:after="60"/>
      </w:pPr>
      <w:r>
        <w:rPr>
          <w:sz w:val="21"/>
        </w:rPr>
        <w:t>Problema que busca resolver el sistema.</w:t>
      </w:r>
    </w:p>
    <w:p>
      <w:pPr>
        <w:pStyle w:val="ListBullet"/>
        <w:spacing w:after="60"/>
      </w:pPr>
      <w:r>
        <w:rPr>
          <w:sz w:val="21"/>
        </w:rPr>
        <w:t>Fuentes OSINT seleccionadas y por qué fueron escogidas.</w:t>
      </w:r>
    </w:p>
    <w:p>
      <w:pPr>
        <w:pStyle w:val="ListBullet"/>
        <w:spacing w:after="60"/>
      </w:pPr>
      <w:r>
        <w:rPr>
          <w:sz w:val="21"/>
        </w:rPr>
        <w:t>Qué obtiene la aplicación de cada fuente.</w:t>
      </w:r>
    </w:p>
    <w:p>
      <w:pPr>
        <w:pStyle w:val="ListBullet"/>
        <w:spacing w:after="60"/>
      </w:pPr>
      <w:r>
        <w:rPr>
          <w:sz w:val="21"/>
        </w:rPr>
        <w:t>Cómo se procesan o relacionan los datos.</w:t>
      </w:r>
    </w:p>
    <w:p>
      <w:pPr>
        <w:pStyle w:val="ListBullet"/>
        <w:spacing w:after="60"/>
      </w:pPr>
      <w:r>
        <w:rPr>
          <w:sz w:val="21"/>
        </w:rPr>
        <w:t>Arquitectura general de la solución.</w:t>
      </w:r>
    </w:p>
    <w:p>
      <w:pPr>
        <w:pStyle w:val="ListBullet"/>
        <w:spacing w:after="60"/>
      </w:pPr>
      <w:r>
        <w:rPr>
          <w:sz w:val="21"/>
        </w:rPr>
        <w:t>Demostración en vivo de las capacidades principales.</w:t>
      </w:r>
    </w:p>
    <w:p>
      <w:pPr>
        <w:pStyle w:val="ListBullet"/>
        <w:spacing w:after="60"/>
      </w:pPr>
      <w:r>
        <w:rPr>
          <w:sz w:val="21"/>
        </w:rPr>
        <w:t>Retos, limitaciones o decisiones técnicas encontradas durante la integración.</w:t>
      </w:r>
    </w:p>
    <w:p>
      <w:pPr>
        <w:pStyle w:val="Heading1"/>
      </w:pPr>
      <w:r>
        <w:t>8. Evaluación — 5%</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0F3E57"/>
          </w:tcPr>
          <w:p>
            <w:r>
              <w:rPr>
                <w:b/>
                <w:color w:val="FFFFFF"/>
                <w:sz w:val="19"/>
              </w:rPr>
              <w:t>Criterio</w:t>
            </w:r>
          </w:p>
        </w:tc>
        <w:tc>
          <w:tcPr>
            <w:tcW w:type="dxa" w:w="3312"/>
            <w:shd w:fill="0F3E57"/>
          </w:tcPr>
          <w:p>
            <w:r>
              <w:rPr>
                <w:b/>
                <w:color w:val="FFFFFF"/>
                <w:sz w:val="19"/>
              </w:rPr>
              <w:t>Qué se espera</w:t>
            </w:r>
          </w:p>
        </w:tc>
        <w:tc>
          <w:tcPr>
            <w:tcW w:type="dxa" w:w="3312"/>
            <w:shd w:fill="0F3E57"/>
          </w:tcPr>
          <w:p>
            <w:r>
              <w:rPr>
                <w:b/>
                <w:color w:val="FFFFFF"/>
                <w:sz w:val="19"/>
              </w:rPr>
              <w:t>Valor</w:t>
            </w:r>
          </w:p>
        </w:tc>
      </w:tr>
      <w:tr>
        <w:tc>
          <w:tcPr>
            <w:tcW w:type="dxa" w:w="3312"/>
            <w:tcMar>
              <w:top w:w="100" w:type="dxa"/>
              <w:start w:w="100" w:type="dxa"/>
              <w:bottom w:w="100" w:type="dxa"/>
              <w:end w:w="100" w:type="dxa"/>
            </w:tcMar>
          </w:tcPr>
          <w:p>
            <w:r>
              <w:rPr>
                <w:sz w:val="19"/>
              </w:rPr>
              <w:t>Integración y consumo de fuentes OSINT</w:t>
            </w:r>
          </w:p>
        </w:tc>
        <w:tc>
          <w:tcPr>
            <w:tcW w:type="dxa" w:w="3312"/>
            <w:tcMar>
              <w:top w:w="100" w:type="dxa"/>
              <w:start w:w="100" w:type="dxa"/>
              <w:bottom w:w="100" w:type="dxa"/>
              <w:end w:w="100" w:type="dxa"/>
            </w:tcMar>
          </w:tcPr>
          <w:p>
            <w:r>
              <w:rPr>
                <w:sz w:val="19"/>
              </w:rPr>
              <w:t>Cada integrante aporta una fuente distinta; consumo real, transformación de datos y capacidad demostrable.</w:t>
            </w:r>
          </w:p>
        </w:tc>
        <w:tc>
          <w:tcPr>
            <w:tcW w:type="dxa" w:w="3312"/>
            <w:tcMar>
              <w:top w:w="100" w:type="dxa"/>
              <w:start w:w="100" w:type="dxa"/>
              <w:bottom w:w="100" w:type="dxa"/>
              <w:end w:w="100" w:type="dxa"/>
            </w:tcMar>
          </w:tcPr>
          <w:p>
            <w:pPr>
              <w:jc w:val="center"/>
            </w:pPr>
            <w:r>
              <w:rPr>
                <w:sz w:val="19"/>
              </w:rPr>
              <w:t>2%</w:t>
            </w:r>
          </w:p>
        </w:tc>
      </w:tr>
      <w:tr>
        <w:tc>
          <w:tcPr>
            <w:tcW w:type="dxa" w:w="3312"/>
            <w:tcMar>
              <w:top w:w="100" w:type="dxa"/>
              <w:start w:w="100" w:type="dxa"/>
              <w:bottom w:w="100" w:type="dxa"/>
              <w:end w:w="100" w:type="dxa"/>
            </w:tcMar>
          </w:tcPr>
          <w:p>
            <w:r>
              <w:rPr>
                <w:sz w:val="19"/>
              </w:rPr>
              <w:t>Sistema web funcional</w:t>
            </w:r>
          </w:p>
        </w:tc>
        <w:tc>
          <w:tcPr>
            <w:tcW w:type="dxa" w:w="3312"/>
            <w:tcMar>
              <w:top w:w="100" w:type="dxa"/>
              <w:start w:w="100" w:type="dxa"/>
              <w:bottom w:w="100" w:type="dxa"/>
              <w:end w:w="100" w:type="dxa"/>
            </w:tcMar>
          </w:tcPr>
          <w:p>
            <w:r>
              <w:rPr>
                <w:sz w:val="19"/>
              </w:rPr>
              <w:t>Interfaz funcional y presentación útil de la información obtenida.</w:t>
            </w:r>
          </w:p>
        </w:tc>
        <w:tc>
          <w:tcPr>
            <w:tcW w:type="dxa" w:w="3312"/>
            <w:tcMar>
              <w:top w:w="100" w:type="dxa"/>
              <w:start w:w="100" w:type="dxa"/>
              <w:bottom w:w="100" w:type="dxa"/>
              <w:end w:w="100" w:type="dxa"/>
            </w:tcMar>
          </w:tcPr>
          <w:p>
            <w:pPr>
              <w:jc w:val="center"/>
            </w:pPr>
            <w:r>
              <w:rPr>
                <w:sz w:val="19"/>
              </w:rPr>
              <w:t>1.5%</w:t>
            </w:r>
          </w:p>
        </w:tc>
      </w:tr>
      <w:tr>
        <w:tc>
          <w:tcPr>
            <w:tcW w:type="dxa" w:w="3312"/>
            <w:tcMar>
              <w:top w:w="100" w:type="dxa"/>
              <w:start w:w="100" w:type="dxa"/>
              <w:bottom w:w="100" w:type="dxa"/>
              <w:end w:w="100" w:type="dxa"/>
            </w:tcMar>
          </w:tcPr>
          <w:p>
            <w:r>
              <w:rPr>
                <w:sz w:val="19"/>
              </w:rPr>
              <w:t>Calidad técnica y GitHub</w:t>
            </w:r>
          </w:p>
        </w:tc>
        <w:tc>
          <w:tcPr>
            <w:tcW w:type="dxa" w:w="3312"/>
            <w:tcMar>
              <w:top w:w="100" w:type="dxa"/>
              <w:start w:w="100" w:type="dxa"/>
              <w:bottom w:w="100" w:type="dxa"/>
              <w:end w:w="100" w:type="dxa"/>
            </w:tcMar>
          </w:tcPr>
          <w:p>
            <w:r>
              <w:rPr>
                <w:sz w:val="19"/>
              </w:rPr>
              <w:t>Organización del código, README, configuración y repositorio comprensible.</w:t>
            </w:r>
          </w:p>
        </w:tc>
        <w:tc>
          <w:tcPr>
            <w:tcW w:type="dxa" w:w="3312"/>
            <w:tcMar>
              <w:top w:w="100" w:type="dxa"/>
              <w:start w:w="100" w:type="dxa"/>
              <w:bottom w:w="100" w:type="dxa"/>
              <w:end w:w="100" w:type="dxa"/>
            </w:tcMar>
          </w:tcPr>
          <w:p>
            <w:pPr>
              <w:jc w:val="center"/>
            </w:pPr>
            <w:r>
              <w:rPr>
                <w:sz w:val="19"/>
              </w:rPr>
              <w:t>0.5%</w:t>
            </w:r>
          </w:p>
        </w:tc>
      </w:tr>
      <w:tr>
        <w:tc>
          <w:tcPr>
            <w:tcW w:type="dxa" w:w="3312"/>
            <w:tcMar>
              <w:top w:w="100" w:type="dxa"/>
              <w:start w:w="100" w:type="dxa"/>
              <w:bottom w:w="100" w:type="dxa"/>
              <w:end w:w="100" w:type="dxa"/>
            </w:tcMar>
          </w:tcPr>
          <w:p>
            <w:r>
              <w:rPr>
                <w:sz w:val="19"/>
              </w:rPr>
              <w:t>Exposición y demostración</w:t>
            </w:r>
          </w:p>
        </w:tc>
        <w:tc>
          <w:tcPr>
            <w:tcW w:type="dxa" w:w="3312"/>
            <w:tcMar>
              <w:top w:w="100" w:type="dxa"/>
              <w:start w:w="100" w:type="dxa"/>
              <w:bottom w:w="100" w:type="dxa"/>
              <w:end w:w="100" w:type="dxa"/>
            </w:tcMar>
          </w:tcPr>
          <w:p>
            <w:r>
              <w:rPr>
                <w:sz w:val="19"/>
              </w:rPr>
              <w:t>Explicación clara de las fuentes, arquitectura, decisiones y funcionamiento.</w:t>
            </w:r>
          </w:p>
        </w:tc>
        <w:tc>
          <w:tcPr>
            <w:tcW w:type="dxa" w:w="3312"/>
            <w:tcMar>
              <w:top w:w="100" w:type="dxa"/>
              <w:start w:w="100" w:type="dxa"/>
              <w:bottom w:w="100" w:type="dxa"/>
              <w:end w:w="100" w:type="dxa"/>
            </w:tcMar>
          </w:tcPr>
          <w:p>
            <w:pPr>
              <w:jc w:val="center"/>
            </w:pPr>
            <w:r>
              <w:rPr>
                <w:sz w:val="19"/>
              </w:rPr>
              <w:t>1%</w:t>
            </w:r>
          </w:p>
        </w:tc>
      </w:tr>
      <w:tr>
        <w:tc>
          <w:tcPr>
            <w:tcW w:type="dxa" w:w="6624"/>
            <w:gridSpan w:val="2"/>
            <w:shd w:fill="DDEBF7"/>
          </w:tcPr>
          <w:p>
            <w:r>
              <w:rPr>
                <w:b/>
                <w:sz w:val="21"/>
              </w:rPr>
              <w:t>TOTAL</w:t>
            </w:r>
          </w:p>
        </w:tc>
        <w:tc>
          <w:tcPr>
            <w:tcW w:type="dxa" w:w="3312"/>
            <w:shd w:fill="DDEBF7"/>
          </w:tcPr>
          <w:p>
            <w:pPr>
              <w:jc w:val="center"/>
            </w:pPr>
            <w:r>
              <w:rPr>
                <w:b/>
                <w:sz w:val="22"/>
              </w:rPr>
              <w:t>5%</w:t>
            </w:r>
          </w:p>
        </w:tc>
      </w:tr>
    </w:tbl>
    <w:p>
      <w:pPr>
        <w:pStyle w:val="Heading1"/>
      </w:pPr>
      <w:r>
        <w:t>9. Ejemplos de proyectos posibles</w:t>
      </w:r>
    </w:p>
    <w:p>
      <w:pPr>
        <w:spacing w:after="80" w:line="259" w:lineRule="auto"/>
      </w:pPr>
      <w:r>
        <w:rPr>
          <w:b/>
          <w:color w:val="0F3E57"/>
        </w:rPr>
        <w:t xml:space="preserve">Observatorio de seguridad: </w:t>
      </w:r>
      <w:r>
        <w:t>OIJ + SNIT + OpenStreetMap + datos socioeconómicos. Mapas, tendencias y comparación entre zonas.</w:t>
      </w:r>
    </w:p>
    <w:p>
      <w:pPr>
        <w:spacing w:after="80" w:line="259" w:lineRule="auto"/>
      </w:pPr>
      <w:r>
        <w:rPr>
          <w:b/>
          <w:color w:val="0F3E57"/>
        </w:rPr>
        <w:t xml:space="preserve">Transparencia de contratación pública: </w:t>
      </w:r>
      <w:r>
        <w:t>SICOP + indicadores económicos + datos territoriales. Proveedores, instituciones, montos y evolución.</w:t>
      </w:r>
    </w:p>
    <w:p>
      <w:pPr>
        <w:spacing w:after="80" w:line="259" w:lineRule="auto"/>
      </w:pPr>
      <w:r>
        <w:rPr>
          <w:b/>
          <w:color w:val="0F3E57"/>
        </w:rPr>
        <w:t xml:space="preserve">Explorador territorial: </w:t>
      </w:r>
      <w:r>
        <w:t>SNIT + OpenStreetMap + datasets ambientales. Consulta por cantón o distrito con capas y puntos de interés.</w:t>
      </w:r>
    </w:p>
    <w:p>
      <w:pPr>
        <w:spacing w:after="80" w:line="259" w:lineRule="auto"/>
      </w:pPr>
      <w:r>
        <w:rPr>
          <w:b/>
          <w:color w:val="0F3E57"/>
        </w:rPr>
        <w:t xml:space="preserve">Dashboard económico de Costa Rica: </w:t>
      </w:r>
      <w:r>
        <w:t>BCCR + datasets abiertos de presupuesto/contratación + visualizaciones históricas.</w:t>
      </w:r>
    </w:p>
    <w:p>
      <w:pPr>
        <w:spacing w:after="80" w:line="259" w:lineRule="auto"/>
      </w:pPr>
      <w:r>
        <w:rPr>
          <w:b/>
          <w:color w:val="0F3E57"/>
        </w:rPr>
        <w:t xml:space="preserve">Inteligencia electoral agregada: </w:t>
      </w:r>
      <w:r>
        <w:t>Datos estadísticos del TSE + SNIT. Evolución territorial del padrón sin construir perfiles individuales.</w:t>
      </w:r>
    </w:p>
    <w:p>
      <w:pPr>
        <w:pStyle w:val="Heading1"/>
      </w:pPr>
      <w:r>
        <w:t>10. Uso responsable de OSINT</w:t>
      </w:r>
    </w:p>
    <w:p>
      <w:pPr>
        <w:spacing w:line="259" w:lineRule="auto" w:after="100"/>
      </w:pPr>
      <w:r>
        <w:t>Que un dato sea público no significa que cualquier uso posterior sea apropiado. El proyecto debe demostrar criterio técnico y también responsabilidad en el tratamiento de la información.</w:t>
      </w:r>
    </w:p>
    <w:p>
      <w:pPr>
        <w:pStyle w:val="ListBullet"/>
        <w:spacing w:after="60"/>
      </w:pPr>
      <w:r>
        <w:rPr>
          <w:sz w:val="21"/>
        </w:rPr>
        <w:t>No evadir autenticación, CAPTCHA, rate limits ni mecanismos de protección.</w:t>
      </w:r>
    </w:p>
    <w:p>
      <w:pPr>
        <w:pStyle w:val="ListBullet"/>
        <w:spacing w:after="60"/>
      </w:pPr>
      <w:r>
        <w:rPr>
          <w:sz w:val="21"/>
        </w:rPr>
        <w:t>No publicar tokens, contraseñas ni credenciales en GitHub.</w:t>
      </w:r>
    </w:p>
    <w:p>
      <w:pPr>
        <w:pStyle w:val="ListBullet"/>
        <w:spacing w:after="60"/>
      </w:pPr>
      <w:r>
        <w:rPr>
          <w:sz w:val="21"/>
        </w:rPr>
        <w:t>Evitar perfiles invasivos de personas o exposición innecesaria de datos personales.</w:t>
      </w:r>
    </w:p>
    <w:p>
      <w:pPr>
        <w:pStyle w:val="ListBullet"/>
        <w:spacing w:after="60"/>
      </w:pPr>
      <w:r>
        <w:rPr>
          <w:sz w:val="21"/>
        </w:rPr>
        <w:t>Revisar términos de uso, licencias y restricciones de la fuente utilizada.</w:t>
      </w:r>
    </w:p>
    <w:p>
      <w:pPr>
        <w:pStyle w:val="ListBullet"/>
        <w:spacing w:after="60"/>
      </w:pPr>
      <w:r>
        <w:rPr>
          <w:sz w:val="21"/>
        </w:rPr>
        <w:t>Distinguir entre datos, inferencias y conclusiones. Una correlación en un dashboard no demuestra causalidad.</w:t>
      </w:r>
    </w:p>
    <w:p>
      <w:pPr>
        <w:pStyle w:val="ListBullet"/>
        <w:spacing w:after="60"/>
      </w:pPr>
      <w:r>
        <w:rPr>
          <w:sz w:val="21"/>
        </w:rPr>
        <w:t>Guardar procedencia de los datos cuando sea posible: fuente, fecha de consulta y recurso utilizado.</w:t>
      </w:r>
    </w:p>
    <w:p>
      <w:pPr>
        <w:spacing w:line="259" w:lineRule="auto" w:after="100"/>
      </w:pPr>
      <w:r>
        <w:br w:type="page"/>
      </w:r>
    </w:p>
    <w:p>
      <w:pPr>
        <w:pStyle w:val="Heading1"/>
      </w:pPr>
      <w:r>
        <w:t>11. Referencias oficiales sugeridas</w:t>
      </w:r>
    </w:p>
    <w:p>
      <w:pPr>
        <w:pStyle w:val="ListBullet"/>
        <w:spacing w:after="60"/>
      </w:pPr>
      <w:r>
        <w:rPr>
          <w:b/>
          <w:sz w:val="19"/>
        </w:rPr>
        <w:t xml:space="preserve">SNIT — Servicios OGC: </w:t>
      </w:r>
      <w:hyperlink r:id="rId10">
        <w:r>
          <w:rPr>
            <w:color w:val="0563C1"/>
            <w:u w:val="single"/>
          </w:rPr>
          <w:t>https://www.snitcr.go.cr/ico_servicios_ogc</w:t>
        </w:r>
      </w:hyperlink>
    </w:p>
    <w:p>
      <w:pPr>
        <w:pStyle w:val="ListBullet"/>
        <w:spacing w:after="60"/>
      </w:pPr>
      <w:r>
        <w:rPr>
          <w:b/>
          <w:sz w:val="19"/>
        </w:rPr>
        <w:t xml:space="preserve">Poder Judicial — Datos Abiertos: </w:t>
      </w:r>
      <w:hyperlink r:id="rId17">
        <w:r>
          <w:rPr>
            <w:color w:val="0563C1"/>
            <w:u w:val="single"/>
          </w:rPr>
          <w:t>https://datosabiertospj.poder-judicial.go.cr/</w:t>
        </w:r>
      </w:hyperlink>
    </w:p>
    <w:p>
      <w:pPr>
        <w:pStyle w:val="ListBullet"/>
        <w:spacing w:after="60"/>
      </w:pPr>
      <w:r>
        <w:rPr>
          <w:b/>
          <w:sz w:val="19"/>
        </w:rPr>
        <w:t xml:space="preserve">OIJ — Estadísticas Policiales: </w:t>
      </w:r>
      <w:hyperlink r:id="rId11">
        <w:r>
          <w:rPr>
            <w:color w:val="0563C1"/>
            <w:u w:val="single"/>
          </w:rPr>
          <w:t>https://datosabiertospj.poder-judicial.go.cr/dataset/estadisticas-policiales</w:t>
        </w:r>
      </w:hyperlink>
    </w:p>
    <w:p>
      <w:pPr>
        <w:pStyle w:val="ListBullet"/>
        <w:spacing w:after="60"/>
      </w:pPr>
      <w:r>
        <w:rPr>
          <w:b/>
          <w:sz w:val="19"/>
        </w:rPr>
        <w:t xml:space="preserve">SICOP — Módulo de Datos Abiertos: </w:t>
      </w:r>
      <w:hyperlink r:id="rId12">
        <w:r>
          <w:rPr>
            <w:color w:val="0563C1"/>
            <w:u w:val="single"/>
          </w:rPr>
          <w:t>https://www.sicop.go.cr/moduloPcont/pcont/rp/CE_MOD_DATOSABIERTOSVIEW.jsp</w:t>
        </w:r>
      </w:hyperlink>
    </w:p>
    <w:p>
      <w:pPr>
        <w:pStyle w:val="ListBullet"/>
        <w:spacing w:after="60"/>
      </w:pPr>
      <w:r>
        <w:rPr>
          <w:b/>
          <w:sz w:val="19"/>
        </w:rPr>
        <w:t xml:space="preserve">BCCR — Web Service de Indicadores: </w:t>
      </w:r>
      <w:hyperlink r:id="rId13">
        <w:r>
          <w:rPr>
            <w:color w:val="0563C1"/>
            <w:u w:val="single"/>
          </w:rPr>
          <w:t>https://gee.bccr.fi.cr/Indicadores/Suscripciones/WS/wsindicadoreseconomicos.asmx</w:t>
        </w:r>
      </w:hyperlink>
    </w:p>
    <w:p>
      <w:pPr>
        <w:pStyle w:val="ListBullet"/>
        <w:spacing w:after="60"/>
      </w:pPr>
      <w:r>
        <w:rPr>
          <w:b/>
          <w:sz w:val="19"/>
        </w:rPr>
        <w:t xml:space="preserve">TSE — Descarga del Padrón Nacional Electoral: </w:t>
      </w:r>
      <w:hyperlink r:id="rId14">
        <w:r>
          <w:rPr>
            <w:color w:val="0563C1"/>
            <w:u w:val="single"/>
          </w:rPr>
          <w:t>https://www.tse.go.cr/descarga_padron.html</w:t>
        </w:r>
      </w:hyperlink>
    </w:p>
    <w:p>
      <w:pPr>
        <w:pStyle w:val="ListBullet"/>
        <w:spacing w:after="60"/>
      </w:pPr>
      <w:r>
        <w:rPr>
          <w:b/>
          <w:sz w:val="19"/>
        </w:rPr>
        <w:t xml:space="preserve">Portal Nacional de Datos Abiertos: </w:t>
      </w:r>
      <w:hyperlink r:id="rId15">
        <w:r>
          <w:rPr>
            <w:color w:val="0563C1"/>
            <w:u w:val="single"/>
          </w:rPr>
          <w:t>https://datosabiertos.gob.go.cr/</w:t>
        </w:r>
      </w:hyperlink>
    </w:p>
    <w:p>
      <w:pPr>
        <w:pStyle w:val="ListBullet"/>
        <w:spacing w:after="60"/>
      </w:pPr>
      <w:r>
        <w:rPr>
          <w:b/>
          <w:sz w:val="19"/>
        </w:rPr>
        <w:t xml:space="preserve">OpenStreetMap — Overpass API: </w:t>
      </w:r>
      <w:hyperlink r:id="rId16">
        <w:r>
          <w:rPr>
            <w:color w:val="0563C1"/>
            <w:u w:val="single"/>
          </w:rPr>
          <w:t>https://wiki.openstreetmap.org/wiki/Overpass_API</w:t>
        </w:r>
      </w:hyperlink>
    </w:p>
    <w:p>
      <w:pPr>
        <w:spacing w:before="280" w:line="259" w:lineRule="auto" w:after="100"/>
        <w:jc w:val="center"/>
      </w:pPr>
      <w:r>
        <w:rPr>
          <w:b/>
          <w:color w:val="0F3E57"/>
          <w:sz w:val="22"/>
        </w:rPr>
        <w:t>La mejor propuesta no será necesariamente la que use más datos, sino la que logre convertirlos en una capacidad clara, útil y bien explicada.</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0F3E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195F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0F3E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nitcr.go.cr/ico_servicios_ogc" TargetMode="External"/><Relationship Id="rId11" Type="http://schemas.openxmlformats.org/officeDocument/2006/relationships/hyperlink" Target="https://datosabiertospj.poder-judicial.go.cr/dataset/estadisticas-policiales" TargetMode="External"/><Relationship Id="rId12" Type="http://schemas.openxmlformats.org/officeDocument/2006/relationships/hyperlink" Target="https://www.sicop.go.cr/moduloPcont/pcont/rp/CE_MOD_DATOSABIERTOSVIEW.jsp" TargetMode="External"/><Relationship Id="rId13" Type="http://schemas.openxmlformats.org/officeDocument/2006/relationships/hyperlink" Target="https://gee.bccr.fi.cr/Indicadores/Suscripciones/WS/wsindicadoreseconomicos.asmx" TargetMode="External"/><Relationship Id="rId14" Type="http://schemas.openxmlformats.org/officeDocument/2006/relationships/hyperlink" Target="https://www.tse.go.cr/descarga_padron.html" TargetMode="External"/><Relationship Id="rId15" Type="http://schemas.openxmlformats.org/officeDocument/2006/relationships/hyperlink" Target="https://datosabiertos.gob.go.cr/" TargetMode="External"/><Relationship Id="rId16" Type="http://schemas.openxmlformats.org/officeDocument/2006/relationships/hyperlink" Target="https://wiki.openstreetmap.org/wiki/Overpass_API" TargetMode="External"/><Relationship Id="rId17" Type="http://schemas.openxmlformats.org/officeDocument/2006/relationships/hyperlink" Target="https://datosabiertospj.poder-judicial.go.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 Sistema Web con Fuentes OSINT de Costa Rica</dc:title>
  <dc:subject>Asignación académica OSINT — valor 5%</dc:subject>
  <dc:creator/>
  <cp:keywords>OSINT, Costa Rica, APIs, Datos Abiertos, Investigación</cp:keywords>
  <dc:description>generated by python-docx</dc:description>
  <cp:lastModifiedBy/>
  <cp:revision>1</cp:revision>
  <dcterms:created xsi:type="dcterms:W3CDTF">2013-12-23T23:15:00Z</dcterms:created>
  <dcterms:modified xsi:type="dcterms:W3CDTF">2013-12-23T23:15:00Z</dcterms:modified>
  <cp:category/>
</cp:coreProperties>
</file>