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4F351" w14:textId="77777777" w:rsidR="009C15EF" w:rsidRPr="00BC1643" w:rsidRDefault="009C15EF" w:rsidP="009C15EF">
      <w:pPr>
        <w:jc w:val="left"/>
        <w:outlineLvl w:val="0"/>
        <w:rPr>
          <w:b/>
          <w:sz w:val="36"/>
        </w:rPr>
      </w:pPr>
      <w:r w:rsidRPr="00BC1643">
        <w:rPr>
          <w:rFonts w:hint="eastAsia"/>
          <w:b/>
          <w:sz w:val="36"/>
        </w:rPr>
        <w:t>附件：测试用例</w:t>
      </w:r>
    </w:p>
    <w:p w14:paraId="26E5D345" w14:textId="4C50102D" w:rsidR="009C15EF" w:rsidRPr="009C15EF" w:rsidRDefault="009C15EF" w:rsidP="009C15EF">
      <w:pPr>
        <w:pStyle w:val="aa"/>
        <w:spacing w:line="360" w:lineRule="auto" w:before="0" w:after="0"/>
        <w:contextualSpacing w:val="0"/>
        <w:jc w:val="center"/>
        <w:outlineLvl w:val="1"/>
        <w:rPr>
          <w:b/>
          <w:bCs/>
          <w:sz w:val="24"/>
          <w:szCs w:val="24"/>
        </w:rPr>
      </w:pPr>
      <w:r>
        <w:rPr>
          <w:rFonts w:ascii="Times New Roman" w:hAnsi="Times New Roman" w:eastAsia="宋体"/>
          <w:b/>
          <w:sz w:val="24"/>
        </w:rPr>
        <w:t>(147) 可视化分析工具能对接经典金融信息数据格式（Func-87）</w:t>
      </w:r>
    </w:p>
    <w:tbl>
      <w:tblPr>
        <w:tblW w:w="855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384"/>
        <w:gridCol w:w="7167"/>
      </w:tblGrid>
      <w:tr w:rsidR="009C15EF" w:rsidRPr="009C15EF" w14:paraId="7E20D1F7" w14:textId="77777777" w:rsidTr="002F0620">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14:paraId="59E6BDE7" w14:textId="77777777" w:rsidR="009C15EF" w:rsidRPr="009C15EF" w:rsidRDefault="009C15EF" w:rsidP="002F0620">
            <w:pPr>
              <w:jc w:val="center"/>
              <w:rPr>
                <w:b/>
                <w:bCs/>
                <w:sz w:val="24"/>
                <w:szCs w:val="24"/>
              </w:rPr>
            </w:pPr>
            <w:bookmarkStart w:id="1" w:name="_Hlk232497006"/>
            <w:r w:rsidRPr="009C15EF">
              <w:rPr>
                <w:b/>
                <w:bCs/>
                <w:sz w:val="24"/>
                <w:szCs w:val="24"/>
              </w:rPr>
              <w:t>测试项目</w:t>
            </w:r>
          </w:p>
        </w:tc>
        <w:tc>
          <w:tcPr>
            <w:tcW w:w="7167" w:type="dxa"/>
            <w:tcBorders>
              <w:top w:val="single" w:sz="6" w:space="0" w:color="auto"/>
              <w:left w:val="single" w:sz="6" w:space="0" w:color="auto"/>
              <w:bottom w:val="single" w:sz="6" w:space="0" w:color="auto"/>
              <w:right w:val="single" w:sz="12" w:space="0" w:color="auto"/>
            </w:tcBorders>
            <w:vAlign w:val="center"/>
          </w:tcPr>
          <w:p>
            <w:pPr>
              <w:spacing w:before="0" w:after="0"/>
              <w:jc w:val="left"/>
            </w:pPr>
            <w:r>
              <w:rPr>
                <w:rFonts w:ascii="Times New Roman" w:hAnsi="Times New Roman" w:eastAsia="宋体"/>
                <w:b w:val="0"/>
                <w:sz w:val="24"/>
              </w:rPr>
              <w:t>可视化分析工具能对接经典金融信息数据格式</w:t>
            </w:r>
          </w:p>
        </w:tc>
      </w:tr>
      <w:tr w:rsidR="009C15EF" w:rsidRPr="009C15EF" w14:paraId="23B66620" w14:textId="77777777"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14:paraId="4C23FCC5" w14:textId="77777777" w:rsidR="009C15EF" w:rsidRPr="009C15EF" w:rsidRDefault="009C15EF" w:rsidP="00706225">
            <w:pPr>
              <w:jc w:val="center"/>
              <w:rPr>
                <w:b/>
                <w:bCs/>
                <w:sz w:val="24"/>
                <w:szCs w:val="24"/>
              </w:rPr>
            </w:pPr>
            <w:r w:rsidRPr="009C15EF">
              <w:rPr>
                <w:b/>
                <w:bCs/>
                <w:sz w:val="24"/>
                <w:szCs w:val="24"/>
              </w:rPr>
              <w:t>测试目的</w:t>
            </w:r>
          </w:p>
        </w:tc>
        <w:tc>
          <w:tcPr>
            <w:tcW w:w="7167" w:type="dxa"/>
            <w:tcBorders>
              <w:top w:val="single" w:sz="6" w:space="0" w:color="auto"/>
              <w:left w:val="single" w:sz="6" w:space="0" w:color="auto"/>
              <w:bottom w:val="single" w:sz="6" w:space="0" w:color="auto"/>
              <w:right w:val="single" w:sz="12" w:space="0" w:color="auto"/>
            </w:tcBorders>
            <w:vAlign w:val="center"/>
          </w:tcPr>
          <w:p>
            <w:pPr>
              <w:spacing w:before="0" w:after="0"/>
              <w:jc w:val="left"/>
            </w:pPr>
            <w:r>
              <w:rPr>
                <w:rFonts w:ascii="Times New Roman" w:hAnsi="Times New Roman" w:eastAsia="宋体"/>
                <w:b w:val="0"/>
                <w:sz w:val="24"/>
              </w:rPr>
              <w:t>验证可视化分析工具在金融编程开发页面中提供经典金融信息数据格式对接能力，并能展示格式目录、读取方式、质量规则、标准字段映射、样例数据预览和格式验证结果。</w:t>
            </w:r>
          </w:p>
        </w:tc>
      </w:tr>
      <w:tr w:rsidR="009C15EF" w:rsidRPr="009C15EF" w14:paraId="66C1A8DA" w14:textId="77777777"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14:paraId="27789233" w14:textId="77777777" w:rsidR="009C15EF" w:rsidRPr="009C15EF" w:rsidRDefault="009C15EF" w:rsidP="00706225">
            <w:pPr>
              <w:jc w:val="center"/>
              <w:rPr>
                <w:b/>
                <w:bCs/>
                <w:sz w:val="24"/>
                <w:szCs w:val="24"/>
              </w:rPr>
            </w:pPr>
            <w:r w:rsidRPr="009C15EF">
              <w:rPr>
                <w:b/>
                <w:bCs/>
                <w:sz w:val="24"/>
                <w:szCs w:val="24"/>
              </w:rPr>
              <w:t>测试环境</w:t>
            </w:r>
          </w:p>
        </w:tc>
        <w:tc>
          <w:tcPr>
            <w:tcW w:w="7167" w:type="dxa"/>
            <w:tcBorders>
              <w:top w:val="single" w:sz="6" w:space="0" w:color="auto"/>
              <w:left w:val="single" w:sz="6" w:space="0" w:color="auto"/>
              <w:bottom w:val="single" w:sz="6" w:space="0" w:color="auto"/>
              <w:right w:val="single" w:sz="12" w:space="0" w:color="auto"/>
            </w:tcBorders>
            <w:vAlign w:val="center"/>
          </w:tcPr>
          <w:p>
            <w:pPr>
              <w:spacing w:before="0" w:after="0"/>
              <w:jc w:val="left"/>
            </w:pPr>
            <w:r>
              <w:rPr>
                <w:rFonts w:ascii="Times New Roman" w:hAnsi="Times New Roman" w:eastAsia="宋体"/>
                <w:b w:val="0"/>
                <w:sz w:val="24"/>
              </w:rPr>
              <w:t>前端访问地址https://janusq.zju.edu.cn/quantumFinance/financial-programming；测试账号为 admin6。密码 123456.</w:t>
            </w:r>
          </w:p>
        </w:tc>
      </w:tr>
      <w:tr w:rsidR="009C15EF" w:rsidRPr="009C15EF" w14:paraId="1E741A65" w14:textId="77777777"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14:paraId="5C29FA97" w14:textId="39D060FA" w:rsidR="009C15EF" w:rsidRPr="009C15EF" w:rsidRDefault="009C15EF" w:rsidP="00706225">
            <w:pPr>
              <w:jc w:val="center"/>
              <w:rPr>
                <w:b/>
                <w:bCs/>
                <w:sz w:val="24"/>
                <w:szCs w:val="24"/>
              </w:rPr>
            </w:pPr>
            <w:bookmarkStart w:id="2" w:name="_Hlk233199951"/>
            <w:r w:rsidRPr="009C15EF">
              <w:rPr>
                <w:rFonts w:hint="eastAsia"/>
                <w:b/>
                <w:color w:val="000000" w:themeColor="text1"/>
                <w:sz w:val="24"/>
                <w:szCs w:val="24"/>
              </w:rPr>
              <w:t>研究成果</w:t>
            </w:r>
            <w:bookmarkEnd w:id="2"/>
          </w:p>
        </w:tc>
        <w:tc>
          <w:tcPr>
            <w:tcW w:w="7167" w:type="dxa"/>
            <w:tcBorders>
              <w:top w:val="single" w:sz="6" w:space="0" w:color="auto"/>
              <w:left w:val="single" w:sz="6" w:space="0" w:color="auto"/>
              <w:bottom w:val="single" w:sz="6" w:space="0" w:color="auto"/>
              <w:right w:val="single" w:sz="12" w:space="0" w:color="auto"/>
            </w:tcBorders>
            <w:vAlign w:val="center"/>
          </w:tcPr>
          <w:p>
            <w:pPr>
              <w:spacing w:before="0" w:after="0"/>
              <w:jc w:val="left"/>
            </w:pPr>
            <w:r>
              <w:rPr>
                <w:rFonts w:ascii="Times New Roman" w:hAnsi="Times New Roman" w:eastAsia="宋体"/>
                <w:b w:val="0"/>
                <w:sz w:val="24"/>
              </w:rPr>
              <w:t>可视化分析工具中的经典金融信息数据格式对接能力，包括格式目录、格式说明、质量规则、字段映射、样例数据预览和数据格式验证入口。</w:t>
            </w:r>
          </w:p>
        </w:tc>
      </w:tr>
      <w:tr w:rsidR="009C15EF" w:rsidRPr="009C15EF" w14:paraId="2C6B73B7" w14:textId="77777777"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14:paraId="2E779AE6" w14:textId="77777777" w:rsidR="009C15EF" w:rsidRPr="009C15EF" w:rsidRDefault="009C15EF" w:rsidP="00706225">
            <w:pPr>
              <w:jc w:val="center"/>
              <w:rPr>
                <w:b/>
                <w:bCs/>
                <w:sz w:val="24"/>
                <w:szCs w:val="24"/>
              </w:rPr>
            </w:pPr>
            <w:r w:rsidRPr="009C15EF">
              <w:rPr>
                <w:b/>
                <w:bCs/>
                <w:sz w:val="24"/>
                <w:szCs w:val="24"/>
              </w:rPr>
              <w:t>交付物</w:t>
            </w:r>
          </w:p>
        </w:tc>
        <w:tc>
          <w:tcPr>
            <w:tcW w:w="7167" w:type="dxa"/>
            <w:tcBorders>
              <w:top w:val="single" w:sz="6" w:space="0" w:color="auto"/>
              <w:left w:val="single" w:sz="6" w:space="0" w:color="auto"/>
              <w:bottom w:val="single" w:sz="6" w:space="0" w:color="auto"/>
              <w:right w:val="single" w:sz="12" w:space="0" w:color="auto"/>
            </w:tcBorders>
            <w:vAlign w:val="center"/>
          </w:tcPr>
          <w:p>
            <w:pPr>
              <w:spacing w:before="0" w:after="0"/>
              <w:jc w:val="left"/>
            </w:pPr>
            <w:r>
              <w:rPr>
                <w:rFonts w:ascii="Times New Roman" w:hAnsi="Times New Roman" w:eastAsia="宋体"/>
                <w:b w:val="0"/>
                <w:sz w:val="24"/>
              </w:rPr>
              <w:t>前端源码，技术报告（tests/docs/147-financial-data-formats/technical_report.md）</w:t>
            </w:r>
          </w:p>
        </w:tc>
      </w:tr>
      <w:tr w:rsidR="009C15EF" w:rsidRPr="009C15EF" w14:paraId="24A07C08" w14:textId="77777777"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14:paraId="3142FA4A" w14:textId="77777777" w:rsidR="009C15EF" w:rsidRPr="009C15EF" w:rsidRDefault="009C15EF" w:rsidP="00706225">
            <w:pPr>
              <w:jc w:val="center"/>
              <w:rPr>
                <w:b/>
                <w:bCs/>
                <w:sz w:val="24"/>
                <w:szCs w:val="24"/>
              </w:rPr>
            </w:pPr>
            <w:r w:rsidRPr="009C15EF">
              <w:rPr>
                <w:b/>
                <w:bCs/>
                <w:sz w:val="24"/>
                <w:szCs w:val="24"/>
              </w:rPr>
              <w:t>必选</w:t>
            </w:r>
            <w:r w:rsidRPr="009C15EF">
              <w:rPr>
                <w:b/>
                <w:bCs/>
                <w:sz w:val="24"/>
                <w:szCs w:val="24"/>
              </w:rPr>
              <w:t>/</w:t>
            </w:r>
            <w:r w:rsidRPr="009C15EF">
              <w:rPr>
                <w:b/>
                <w:bCs/>
                <w:sz w:val="24"/>
                <w:szCs w:val="24"/>
              </w:rPr>
              <w:t>可选</w:t>
            </w:r>
          </w:p>
        </w:tc>
        <w:tc>
          <w:tcPr>
            <w:tcW w:w="7167" w:type="dxa"/>
            <w:tcBorders>
              <w:top w:val="single" w:sz="6" w:space="0" w:color="auto"/>
              <w:left w:val="single" w:sz="6" w:space="0" w:color="auto"/>
              <w:bottom w:val="single" w:sz="6" w:space="0" w:color="auto"/>
              <w:right w:val="single" w:sz="12" w:space="0" w:color="auto"/>
            </w:tcBorders>
            <w:vAlign w:val="center"/>
          </w:tcPr>
          <w:p>
            <w:pPr>
              <w:spacing w:before="0" w:after="0"/>
              <w:jc w:val="left"/>
            </w:pPr>
            <w:r>
              <w:rPr>
                <w:rFonts w:ascii="Times New Roman" w:hAnsi="Times New Roman" w:eastAsia="宋体"/>
                <w:b w:val="0"/>
                <w:sz w:val="24"/>
              </w:rPr>
              <w:t>必选</w:t>
            </w:r>
          </w:p>
        </w:tc>
      </w:tr>
      <w:tr w:rsidR="009C15EF" w:rsidRPr="009C15EF" w14:paraId="1E819E3A" w14:textId="77777777"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14:paraId="3BC2FAC6" w14:textId="77777777" w:rsidR="009C15EF" w:rsidRPr="009C15EF" w:rsidRDefault="009C15EF" w:rsidP="00706225">
            <w:pPr>
              <w:jc w:val="center"/>
              <w:rPr>
                <w:b/>
                <w:bCs/>
                <w:sz w:val="24"/>
                <w:szCs w:val="24"/>
              </w:rPr>
            </w:pPr>
            <w:r w:rsidRPr="009C15EF">
              <w:rPr>
                <w:b/>
                <w:bCs/>
                <w:sz w:val="24"/>
                <w:szCs w:val="24"/>
              </w:rPr>
              <w:t>前置条件</w:t>
            </w:r>
          </w:p>
        </w:tc>
        <w:tc>
          <w:tcPr>
            <w:tcW w:w="7167" w:type="dxa"/>
            <w:tcBorders>
              <w:top w:val="single" w:sz="6" w:space="0" w:color="auto"/>
              <w:left w:val="single" w:sz="6" w:space="0" w:color="auto"/>
              <w:bottom w:val="single" w:sz="6" w:space="0" w:color="auto"/>
              <w:right w:val="single" w:sz="12" w:space="0" w:color="auto"/>
            </w:tcBorders>
            <w:vAlign w:val="center"/>
          </w:tcPr>
          <w:p>
            <w:pPr>
              <w:spacing w:before="0" w:after="0"/>
              <w:jc w:val="left"/>
            </w:pPr>
            <w:r>
              <w:rPr>
                <w:rFonts w:ascii="Times New Roman" w:hAnsi="Times New Roman" w:eastAsia="宋体"/>
                <w:b w:val="0"/>
                <w:sz w:val="24"/>
              </w:rPr>
              <w:t>网站服务可以登录访问。</w:t>
            </w:r>
          </w:p>
        </w:tc>
      </w:tr>
      <w:bookmarkEnd w:id="1"/>
      <w:tr w:rsidR="009C15EF" w:rsidRPr="009C15EF" w14:paraId="1E2A054E" w14:textId="77777777"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14:paraId="6D9FD808" w14:textId="77777777" w:rsidR="009C15EF" w:rsidRPr="009C15EF" w:rsidRDefault="009C15EF" w:rsidP="00706225">
            <w:pPr>
              <w:jc w:val="center"/>
              <w:rPr>
                <w:b/>
                <w:bCs/>
                <w:sz w:val="24"/>
                <w:szCs w:val="24"/>
              </w:rPr>
            </w:pPr>
            <w:r w:rsidRPr="009C15EF">
              <w:rPr>
                <w:b/>
                <w:bCs/>
                <w:sz w:val="24"/>
                <w:szCs w:val="24"/>
              </w:rPr>
              <w:t>测试流程</w:t>
            </w:r>
          </w:p>
        </w:tc>
        <w:tc>
          <w:tcPr>
            <w:tcW w:w="7167" w:type="dxa"/>
            <w:tcBorders>
              <w:top w:val="single" w:sz="6" w:space="0" w:color="auto"/>
              <w:left w:val="single" w:sz="6" w:space="0" w:color="auto"/>
              <w:bottom w:val="single" w:sz="6" w:space="0" w:color="auto"/>
              <w:right w:val="single" w:sz="12" w:space="0" w:color="auto"/>
            </w:tcBorders>
            <w:vAlign w:val="center"/>
          </w:tcPr>
          <w:p>
            <w:pPr>
              <w:spacing w:before="0" w:after="0"/>
              <w:jc w:val="left"/>
            </w:pPr>
            <w:r>
              <w:rPr>
                <w:rFonts w:ascii="Times New Roman" w:hAnsi="Times New Roman" w:eastAsia="宋体"/>
                <w:b w:val="0"/>
                <w:sz w:val="24"/>
              </w:rPr>
              <w:t>1. 打开金融编程开发页面，在页内流程导航中点击第二步“数据格式”。</w:t>
            </w:r>
          </w:p>
          <w:p>
            <w:pPr>
              <w:spacing w:before="0" w:after="0"/>
              <w:jc w:val="center"/>
            </w:pPr>
            <w:r>
              <w:rPr>
                <w:rFonts w:ascii="Times New Roman" w:hAnsi="Times New Roman" w:eastAsia="宋体"/>
                <w:b w:val="0"/>
                <w:sz w:val="24"/>
              </w:rPr>
              <w:t>图1：进入经典金融信息数据格式步骤</w:t>
            </w:r>
          </w:p>
          <w:p>
            <w:pPr>
              <w:spacing w:before="0" w:after="40"/>
              <w:jc w:val="center"/>
            </w:pPr>
            <w:r>
              <w:drawing>
                <wp:inline xmlns:a="http://schemas.openxmlformats.org/drawingml/2006/main" xmlns:pic="http://schemas.openxmlformats.org/drawingml/2006/picture">
                  <wp:extent cx="4114800" cy="3429000"/>
                  <wp:docPr id="1" name="Picture 1"/>
                  <wp:cNvGraphicFramePr>
                    <a:graphicFrameLocks noChangeAspect="1"/>
                  </wp:cNvGraphicFramePr>
                  <a:graphic>
                    <a:graphicData uri="http://schemas.openxmlformats.org/drawingml/2006/picture">
                      <pic:pic>
                        <pic:nvPicPr>
                          <pic:cNvPr id="0" name="00-step-navigation-layout.png"/>
                          <pic:cNvPicPr/>
                        </pic:nvPicPr>
                        <pic:blipFill>
                          <a:blip r:embed="rId7"/>
                          <a:stretch>
                            <a:fillRect/>
                          </a:stretch>
                        </pic:blipFill>
                        <pic:spPr>
                          <a:xfrm>
                            <a:off x="0" y="0"/>
                            <a:ext cx="4114800" cy="3429000"/>
                          </a:xfrm>
                          <a:prstGeom prst="rect"/>
                        </pic:spPr>
                      </pic:pic>
                    </a:graphicData>
                  </a:graphic>
                </wp:inline>
              </w:drawing>
            </w:r>
          </w:p>
          <w:p>
            <w:pPr>
              <w:spacing w:before="0" w:after="0"/>
              <w:jc w:val="left"/>
            </w:pPr>
            <w:r>
              <w:rPr>
                <w:rFonts w:ascii="Times New Roman" w:hAnsi="Times New Roman" w:eastAsia="宋体"/>
                <w:b w:val="0"/>
                <w:sz w:val="24"/>
              </w:rPr>
              <w:t>2. 在左侧格式类型选择器和格式目录中查看全部数据格式，确认包含 CSV、Excel、JSON、Parquet、Qlib、Arrow / Feather、HDF5 共7类。</w:t>
            </w:r>
          </w:p>
          <w:p>
            <w:pPr>
              <w:spacing w:before="0" w:after="0"/>
              <w:jc w:val="center"/>
            </w:pPr>
            <w:r>
              <w:rPr>
                <w:rFonts w:ascii="Times New Roman" w:hAnsi="Times New Roman" w:eastAsia="宋体"/>
                <w:b w:val="0"/>
                <w:sz w:val="24"/>
              </w:rPr>
              <w:t>图2：经典金融信息数据格式目录</w:t>
            </w:r>
          </w:p>
          <w:p>
            <w:pPr>
              <w:spacing w:before="0" w:after="40"/>
              <w:jc w:val="center"/>
            </w:pPr>
            <w:r>
              <w:drawing>
                <wp:inline xmlns:a="http://schemas.openxmlformats.org/drawingml/2006/main" xmlns:pic="http://schemas.openxmlformats.org/drawingml/2006/picture">
                  <wp:extent cx="4114800" cy="3429000"/>
                  <wp:docPr id="2" name="Picture 2"/>
                  <wp:cNvGraphicFramePr>
                    <a:graphicFrameLocks noChangeAspect="1"/>
                  </wp:cNvGraphicFramePr>
                  <a:graphic>
                    <a:graphicData uri="http://schemas.openxmlformats.org/drawingml/2006/picture">
                      <pic:pic>
                        <pic:nvPicPr>
                          <pic:cNvPr id="0" name="01-format-directory.png"/>
                          <pic:cNvPicPr/>
                        </pic:nvPicPr>
                        <pic:blipFill>
                          <a:blip r:embed="rId8"/>
                          <a:stretch>
                            <a:fillRect/>
                          </a:stretch>
                        </pic:blipFill>
                        <pic:spPr>
                          <a:xfrm>
                            <a:off x="0" y="0"/>
                            <a:ext cx="4114800" cy="3429000"/>
                          </a:xfrm>
                          <a:prstGeom prst="rect"/>
                        </pic:spPr>
                      </pic:pic>
                    </a:graphicData>
                  </a:graphic>
                </wp:inline>
              </w:drawing>
            </w:r>
          </w:p>
          <w:p>
            <w:pPr>
              <w:spacing w:before="0" w:after="0"/>
              <w:jc w:val="left"/>
            </w:pPr>
            <w:r>
              <w:rPr>
                <w:rFonts w:ascii="Times New Roman" w:hAnsi="Times New Roman" w:eastAsia="宋体"/>
                <w:b w:val="0"/>
                <w:sz w:val="24"/>
              </w:rPr>
              <w:t>3. 选择 JSON 格式，查看右侧文件形态、读取方式、适配场景、质量规则、标准字段映射和样例数据预览。</w:t>
            </w:r>
          </w:p>
          <w:p>
            <w:pPr>
              <w:spacing w:before="0" w:after="0"/>
              <w:jc w:val="left"/>
            </w:pPr>
            <w:r>
              <w:rPr>
                <w:rFonts w:ascii="Times New Roman" w:hAnsi="Times New Roman" w:eastAsia="宋体"/>
                <w:b w:val="0"/>
                <w:sz w:val="24"/>
              </w:rPr>
              <w:t>4. 点击“验证数据格式”，确认页面展示格式校验通过状态。</w:t>
            </w:r>
          </w:p>
          <w:p>
            <w:pPr>
              <w:spacing w:before="0" w:after="0"/>
              <w:jc w:val="center"/>
            </w:pPr>
            <w:r>
              <w:rPr>
                <w:rFonts w:ascii="Times New Roman" w:hAnsi="Times New Roman" w:eastAsia="宋体"/>
                <w:b w:val="0"/>
                <w:sz w:val="24"/>
              </w:rPr>
              <w:t>图3：数据格式验证入口和校验结果</w:t>
            </w:r>
          </w:p>
          <w:p>
            <w:pPr>
              <w:spacing w:before="0" w:after="40"/>
              <w:jc w:val="center"/>
            </w:pPr>
            <w:r>
              <w:drawing>
                <wp:inline xmlns:a="http://schemas.openxmlformats.org/drawingml/2006/main" xmlns:pic="http://schemas.openxmlformats.org/drawingml/2006/picture">
                  <wp:extent cx="4114800" cy="4261347"/>
                  <wp:docPr id="3" name="Picture 3"/>
                  <wp:cNvGraphicFramePr>
                    <a:graphicFrameLocks noChangeAspect="1"/>
                  </wp:cNvGraphicFramePr>
                  <a:graphic>
                    <a:graphicData uri="http://schemas.openxmlformats.org/drawingml/2006/picture">
                      <pic:pic>
                        <pic:nvPicPr>
                          <pic:cNvPr id="0" name="02-format-validate-annotated.png"/>
                          <pic:cNvPicPr/>
                        </pic:nvPicPr>
                        <pic:blipFill>
                          <a:blip r:embed="rId9"/>
                          <a:stretch>
                            <a:fillRect/>
                          </a:stretch>
                        </pic:blipFill>
                        <pic:spPr>
                          <a:xfrm>
                            <a:off x="0" y="0"/>
                            <a:ext cx="4114800" cy="4261347"/>
                          </a:xfrm>
                          <a:prstGeom prst="rect"/>
                        </pic:spPr>
                      </pic:pic>
                    </a:graphicData>
                  </a:graphic>
                </wp:inline>
              </w:drawing>
            </w:r>
          </w:p>
        </w:tc>
      </w:tr>
      <w:tr w:rsidR="009C15EF" w:rsidRPr="009C15EF" w14:paraId="2F58242F" w14:textId="77777777"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14:paraId="4D1A42AD" w14:textId="77777777" w:rsidR="009C15EF" w:rsidRPr="009C15EF" w:rsidRDefault="009C15EF" w:rsidP="00706225">
            <w:pPr>
              <w:jc w:val="center"/>
              <w:rPr>
                <w:b/>
                <w:bCs/>
                <w:sz w:val="24"/>
                <w:szCs w:val="24"/>
              </w:rPr>
            </w:pPr>
            <w:r w:rsidRPr="009C15EF">
              <w:rPr>
                <w:b/>
                <w:bCs/>
                <w:sz w:val="24"/>
                <w:szCs w:val="24"/>
              </w:rPr>
              <w:t>预期结果</w:t>
            </w:r>
          </w:p>
        </w:tc>
        <w:tc>
          <w:tcPr>
            <w:tcW w:w="7167" w:type="dxa"/>
            <w:tcBorders>
              <w:top w:val="single" w:sz="6" w:space="0" w:color="auto"/>
              <w:left w:val="single" w:sz="6" w:space="0" w:color="auto"/>
              <w:bottom w:val="single" w:sz="6" w:space="0" w:color="auto"/>
              <w:right w:val="single" w:sz="12" w:space="0" w:color="auto"/>
            </w:tcBorders>
            <w:vAlign w:val="center"/>
          </w:tcPr>
          <w:p>
            <w:pPr>
              <w:spacing w:before="0" w:after="0"/>
              <w:jc w:val="left"/>
            </w:pPr>
            <w:r>
              <w:rPr>
                <w:rFonts w:ascii="Times New Roman" w:hAnsi="Times New Roman" w:eastAsia="宋体"/>
                <w:b w:val="0"/>
                <w:sz w:val="24"/>
              </w:rPr>
              <w:t>1. 页面展示 CSV、Excel、JSON、Parquet、Qlib、Arrow / Feather、HDF5 共7类经典金融信息数据格式。</w:t>
            </w:r>
          </w:p>
          <w:p>
            <w:pPr>
              <w:spacing w:before="0" w:after="0"/>
              <w:jc w:val="left"/>
            </w:pPr>
            <w:r>
              <w:rPr>
                <w:rFonts w:ascii="Times New Roman" w:hAnsi="Times New Roman" w:eastAsia="宋体"/>
                <w:b w:val="0"/>
                <w:sz w:val="24"/>
              </w:rPr>
              <w:t>2. 选中格式后，读取方式、质量规则、标准字段映射和样例数据预览可见。</w:t>
            </w:r>
          </w:p>
          <w:p>
            <w:pPr>
              <w:spacing w:before="0" w:after="0"/>
              <w:jc w:val="left"/>
            </w:pPr>
            <w:r>
              <w:rPr>
                <w:rFonts w:ascii="Times New Roman" w:hAnsi="Times New Roman" w:eastAsia="宋体"/>
                <w:b w:val="0"/>
                <w:sz w:val="24"/>
              </w:rPr>
              <w:t>3. 点击验证入口后，页面能够展示当前数据格式的校验状态。</w:t>
            </w:r>
          </w:p>
        </w:tc>
      </w:tr>
      <w:tr w:rsidR="009C15EF" w:rsidRPr="009C15EF" w14:paraId="6D0C3B2B" w14:textId="77777777"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14:paraId="6370E6B4" w14:textId="77777777" w:rsidR="009C15EF" w:rsidRPr="009C15EF" w:rsidRDefault="009C15EF" w:rsidP="00706225">
            <w:pPr>
              <w:jc w:val="center"/>
              <w:rPr>
                <w:b/>
                <w:bCs/>
                <w:sz w:val="24"/>
                <w:szCs w:val="24"/>
              </w:rPr>
            </w:pPr>
            <w:r w:rsidRPr="009C15EF">
              <w:rPr>
                <w:b/>
                <w:bCs/>
                <w:sz w:val="24"/>
                <w:szCs w:val="24"/>
              </w:rPr>
              <w:t>测试结果</w:t>
            </w:r>
          </w:p>
        </w:tc>
        <w:tc>
          <w:tcPr>
            <w:tcW w:w="7167" w:type="dxa"/>
            <w:tcBorders>
              <w:top w:val="single" w:sz="6" w:space="0" w:color="auto"/>
              <w:left w:val="single" w:sz="6" w:space="0" w:color="auto"/>
              <w:bottom w:val="single" w:sz="6" w:space="0" w:color="auto"/>
              <w:right w:val="single" w:sz="12" w:space="0" w:color="auto"/>
            </w:tcBorders>
            <w:vAlign w:val="center"/>
          </w:tcPr>
          <w:p>
            <w:pPr>
              <w:spacing w:before="0" w:after="0"/>
              <w:jc w:val="left"/>
            </w:pPr>
            <w:r>
              <w:rPr>
                <w:rFonts w:ascii="Times New Roman" w:hAnsi="Times New Roman" w:eastAsia="宋体"/>
                <w:b w:val="0"/>
                <w:sz w:val="24"/>
              </w:rPr>
            </w:r>
          </w:p>
        </w:tc>
      </w:tr>
      <w:tr w:rsidR="009C15EF" w:rsidRPr="009C15EF" w14:paraId="43BB9B3E" w14:textId="77777777" w:rsidTr="004552AB">
        <w:trPr>
          <w:trHeight w:val="283"/>
        </w:trPr>
        <w:tc>
          <w:tcPr>
            <w:tcW w:w="1384" w:type="dxa"/>
            <w:tcBorders>
              <w:top w:val="single" w:sz="6" w:space="0" w:color="auto"/>
              <w:left w:val="single" w:sz="12" w:space="0" w:color="auto"/>
              <w:bottom w:val="single" w:sz="6" w:space="0" w:color="auto"/>
              <w:right w:val="single" w:sz="6" w:space="0" w:color="auto"/>
            </w:tcBorders>
            <w:vAlign w:val="center"/>
          </w:tcPr>
          <w:p w14:paraId="0946C6E7" w14:textId="77777777" w:rsidR="009C15EF" w:rsidRPr="009C15EF" w:rsidRDefault="009C15EF" w:rsidP="00706225">
            <w:pPr>
              <w:jc w:val="center"/>
              <w:rPr>
                <w:b/>
                <w:bCs/>
                <w:sz w:val="24"/>
                <w:szCs w:val="24"/>
              </w:rPr>
            </w:pPr>
            <w:r w:rsidRPr="009C15EF">
              <w:rPr>
                <w:b/>
                <w:bCs/>
                <w:sz w:val="24"/>
                <w:szCs w:val="24"/>
              </w:rPr>
              <w:t>测试结论</w:t>
            </w:r>
          </w:p>
        </w:tc>
        <w:tc>
          <w:tcPr>
            <w:tcW w:w="7167" w:type="dxa"/>
            <w:tcBorders>
              <w:top w:val="single" w:sz="6" w:space="0" w:color="auto"/>
              <w:left w:val="single" w:sz="6" w:space="0" w:color="auto"/>
              <w:bottom w:val="single" w:sz="6" w:space="0" w:color="auto"/>
              <w:right w:val="single" w:sz="12" w:space="0" w:color="auto"/>
            </w:tcBorders>
            <w:vAlign w:val="center"/>
          </w:tcPr>
          <w:p>
            <w:pPr>
              <w:spacing w:before="0" w:after="0"/>
              <w:jc w:val="left"/>
            </w:pPr>
            <w:r>
              <w:rPr>
                <w:rFonts w:ascii="Times New Roman" w:hAnsi="Times New Roman" w:eastAsia="宋体"/>
                <w:b w:val="0"/>
                <w:sz w:val="24"/>
              </w:rPr>
            </w:r>
          </w:p>
        </w:tc>
      </w:tr>
    </w:tbl>
    <w:p w14:paraId="09A5BA46" w14:textId="77777777" w:rsidR="00D04C7E" w:rsidRPr="008F102F" w:rsidRDefault="00D04C7E">
      <w:pPr>
        <w:rPr>
          <w:rFonts w:hint="eastAsia"/>
        </w:rPr>
      </w:pPr>
    </w:p>
    <w:sectPr w:rsidR="00D04C7E" w:rsidRPr="008F10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C7EB0"/>
    <w:multiLevelType w:val="multilevel"/>
    <w:tmpl w:val="47DC7EB0"/>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49CD0D16"/>
    <w:multiLevelType w:val="singleLevel"/>
    <w:tmpl w:val="EE5B0656"/>
    <w:lvl w:ilvl="0">
      <w:start w:val="1"/>
      <w:numFmt w:val="decimal"/>
      <w:lvlText w:val="(%1)"/>
      <w:lvlJc w:val="left"/>
      <w:pPr>
        <w:ind w:left="425" w:hanging="425"/>
      </w:pPr>
      <w:rPr>
        <w:rFonts w:hint="default"/>
      </w:rPr>
    </w:lvl>
  </w:abstractNum>
  <w:abstractNum w:abstractNumId="2" w15:restartNumberingAfterBreak="0">
    <w:nsid w:val="5068590B"/>
    <w:multiLevelType w:val="multilevel"/>
    <w:tmpl w:val="5068590B"/>
    <w:lvl w:ilvl="0">
      <w:start w:val="1"/>
      <w:numFmt w:val="chineseCountingThousand"/>
      <w:lvlText w:val="%1、"/>
      <w:lvlJc w:val="left"/>
      <w:pPr>
        <w:ind w:left="846" w:hanging="420"/>
      </w:pPr>
      <w:rPr>
        <w:rFonts w:hint="eastAsia"/>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3796164">
    <w:abstractNumId w:val="2"/>
  </w:num>
  <w:num w:numId="2" w16cid:durableId="1994410680">
    <w:abstractNumId w:val="0"/>
  </w:num>
  <w:num w:numId="3" w16cid:durableId="844321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5"/>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5EF"/>
    <w:rsid w:val="0023635C"/>
    <w:rsid w:val="002F0620"/>
    <w:rsid w:val="003037BA"/>
    <w:rsid w:val="003E76BF"/>
    <w:rsid w:val="004552AB"/>
    <w:rsid w:val="005430DB"/>
    <w:rsid w:val="005A18BD"/>
    <w:rsid w:val="00706225"/>
    <w:rsid w:val="0077043C"/>
    <w:rsid w:val="007C6AC7"/>
    <w:rsid w:val="008F102F"/>
    <w:rsid w:val="00962D11"/>
    <w:rsid w:val="009C15EF"/>
    <w:rsid w:val="00A17174"/>
    <w:rsid w:val="00D04C7E"/>
    <w:rsid w:val="00DE0DDA"/>
    <w:rsid w:val="00EF6ABF"/>
    <w:rsid w:val="00FA59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0B50C"/>
  <w15:chartTrackingRefBased/>
  <w15:docId w15:val="{0D72419C-433A-7B48-9B7A-D8DB3A5B3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9C15EF"/>
    <w:pPr>
      <w:widowControl w:val="0"/>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9C15E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9C15E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C15E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C15E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C15E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C15E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C15E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15E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C15EF"/>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9C15EF"/>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qFormat/>
    <w:rsid w:val="009C15EF"/>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9C15EF"/>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9C15EF"/>
    <w:rPr>
      <w:rFonts w:cstheme="majorBidi"/>
      <w:color w:val="0F4761" w:themeColor="accent1" w:themeShade="BF"/>
      <w:sz w:val="28"/>
      <w:szCs w:val="28"/>
    </w:rPr>
  </w:style>
  <w:style w:type="character" w:customStyle="1" w:styleId="50">
    <w:name w:val="标题 5 字符"/>
    <w:basedOn w:val="a1"/>
    <w:link w:val="5"/>
    <w:uiPriority w:val="9"/>
    <w:semiHidden/>
    <w:rsid w:val="009C15EF"/>
    <w:rPr>
      <w:rFonts w:cstheme="majorBidi"/>
      <w:color w:val="0F4761" w:themeColor="accent1" w:themeShade="BF"/>
      <w:sz w:val="24"/>
    </w:rPr>
  </w:style>
  <w:style w:type="character" w:customStyle="1" w:styleId="60">
    <w:name w:val="标题 6 字符"/>
    <w:basedOn w:val="a1"/>
    <w:link w:val="6"/>
    <w:uiPriority w:val="9"/>
    <w:semiHidden/>
    <w:rsid w:val="009C15EF"/>
    <w:rPr>
      <w:rFonts w:cstheme="majorBidi"/>
      <w:b/>
      <w:bCs/>
      <w:color w:val="0F4761" w:themeColor="accent1" w:themeShade="BF"/>
    </w:rPr>
  </w:style>
  <w:style w:type="character" w:customStyle="1" w:styleId="70">
    <w:name w:val="标题 7 字符"/>
    <w:basedOn w:val="a1"/>
    <w:link w:val="7"/>
    <w:uiPriority w:val="9"/>
    <w:semiHidden/>
    <w:rsid w:val="009C15EF"/>
    <w:rPr>
      <w:rFonts w:cstheme="majorBidi"/>
      <w:b/>
      <w:bCs/>
      <w:color w:val="595959" w:themeColor="text1" w:themeTint="A6"/>
    </w:rPr>
  </w:style>
  <w:style w:type="character" w:customStyle="1" w:styleId="80">
    <w:name w:val="标题 8 字符"/>
    <w:basedOn w:val="a1"/>
    <w:link w:val="8"/>
    <w:uiPriority w:val="9"/>
    <w:semiHidden/>
    <w:rsid w:val="009C15EF"/>
    <w:rPr>
      <w:rFonts w:cstheme="majorBidi"/>
      <w:color w:val="595959" w:themeColor="text1" w:themeTint="A6"/>
    </w:rPr>
  </w:style>
  <w:style w:type="character" w:customStyle="1" w:styleId="90">
    <w:name w:val="标题 9 字符"/>
    <w:basedOn w:val="a1"/>
    <w:link w:val="9"/>
    <w:uiPriority w:val="9"/>
    <w:semiHidden/>
    <w:rsid w:val="009C15EF"/>
    <w:rPr>
      <w:rFonts w:eastAsiaTheme="majorEastAsia" w:cstheme="majorBidi"/>
      <w:color w:val="595959" w:themeColor="text1" w:themeTint="A6"/>
    </w:rPr>
  </w:style>
  <w:style w:type="paragraph" w:styleId="a4">
    <w:name w:val="Title"/>
    <w:basedOn w:val="a"/>
    <w:next w:val="a"/>
    <w:link w:val="a5"/>
    <w:uiPriority w:val="10"/>
    <w:qFormat/>
    <w:rsid w:val="009C15EF"/>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9C15EF"/>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9C15E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9C15EF"/>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9C15EF"/>
    <w:pPr>
      <w:spacing w:before="160" w:after="160"/>
      <w:jc w:val="center"/>
    </w:pPr>
    <w:rPr>
      <w:i/>
      <w:iCs/>
      <w:color w:val="404040" w:themeColor="text1" w:themeTint="BF"/>
    </w:rPr>
  </w:style>
  <w:style w:type="character" w:customStyle="1" w:styleId="a9">
    <w:name w:val="引用 字符"/>
    <w:basedOn w:val="a1"/>
    <w:link w:val="a8"/>
    <w:uiPriority w:val="29"/>
    <w:rsid w:val="009C15EF"/>
    <w:rPr>
      <w:i/>
      <w:iCs/>
      <w:color w:val="404040" w:themeColor="text1" w:themeTint="BF"/>
    </w:rPr>
  </w:style>
  <w:style w:type="paragraph" w:styleId="aa">
    <w:name w:val="List Paragraph"/>
    <w:basedOn w:val="a"/>
    <w:uiPriority w:val="34"/>
    <w:qFormat/>
    <w:rsid w:val="009C15EF"/>
    <w:pPr>
      <w:ind w:left="720"/>
      <w:contextualSpacing/>
    </w:pPr>
  </w:style>
  <w:style w:type="character" w:styleId="ab">
    <w:name w:val="Intense Emphasis"/>
    <w:basedOn w:val="a1"/>
    <w:uiPriority w:val="21"/>
    <w:qFormat/>
    <w:rsid w:val="009C15EF"/>
    <w:rPr>
      <w:i/>
      <w:iCs/>
      <w:color w:val="0F4761" w:themeColor="accent1" w:themeShade="BF"/>
    </w:rPr>
  </w:style>
  <w:style w:type="paragraph" w:styleId="ac">
    <w:name w:val="Intense Quote"/>
    <w:basedOn w:val="a"/>
    <w:next w:val="a"/>
    <w:link w:val="ad"/>
    <w:uiPriority w:val="30"/>
    <w:qFormat/>
    <w:rsid w:val="009C1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9C15EF"/>
    <w:rPr>
      <w:i/>
      <w:iCs/>
      <w:color w:val="0F4761" w:themeColor="accent1" w:themeShade="BF"/>
    </w:rPr>
  </w:style>
  <w:style w:type="character" w:styleId="ae">
    <w:name w:val="Intense Reference"/>
    <w:basedOn w:val="a1"/>
    <w:uiPriority w:val="32"/>
    <w:qFormat/>
    <w:rsid w:val="009C15EF"/>
    <w:rPr>
      <w:b/>
      <w:bCs/>
      <w:smallCaps/>
      <w:color w:val="0F4761" w:themeColor="accent1" w:themeShade="BF"/>
      <w:spacing w:val="5"/>
    </w:rPr>
  </w:style>
  <w:style w:type="paragraph" w:styleId="a0">
    <w:name w:val="Body Text"/>
    <w:basedOn w:val="a"/>
    <w:link w:val="af"/>
    <w:uiPriority w:val="99"/>
    <w:semiHidden/>
    <w:unhideWhenUsed/>
    <w:rsid w:val="009C15EF"/>
    <w:pPr>
      <w:spacing w:after="120"/>
    </w:pPr>
  </w:style>
  <w:style w:type="character" w:customStyle="1" w:styleId="af">
    <w:name w:val="正文文本 字符"/>
    <w:basedOn w:val="a1"/>
    <w:link w:val="a0"/>
    <w:uiPriority w:val="99"/>
    <w:semiHidden/>
    <w:rsid w:val="009C15EF"/>
    <w:rPr>
      <w:rFonts w:ascii="Times New Roman" w:eastAsia="宋体" w:hAnsi="Times New Roman" w:cs="Times New Roman"/>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16</Words>
  <Characters>95</Characters>
  <Application>Microsoft Office Word</Application>
  <DocSecurity>0</DocSecurity>
  <Lines>1</Lines>
  <Paragraphs>1</Paragraphs>
  <ScaleCrop>false</ScaleCrop>
  <Company/>
  <LinksUpToDate>false</LinksUpToDate>
  <CharactersWithSpaces>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k2449</dc:creator>
  <cp:keywords/>
  <dc:description/>
  <cp:lastModifiedBy>k2449</cp:lastModifiedBy>
  <cp:revision>10</cp:revision>
  <dcterms:created xsi:type="dcterms:W3CDTF">2026-06-24T05:20:00Z</dcterms:created>
  <dcterms:modified xsi:type="dcterms:W3CDTF">2026-06-25T07:29:00Z</dcterms:modified>
</cp:coreProperties>
</file>