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sz w:val="48"/>
        </w:rPr>
        <w:t xml:space="preserve">  </w:t>
      </w:r>
    </w:p>
    <w:p>
      <w:pPr>
        <w:spacing w:after="600"/>
      </w:pPr>
    </w:p>
    <w:p>
      <w:pPr>
        <w:spacing w:before="400" w:after="160"/>
        <w:jc w:val="center"/>
      </w:pPr>
      <w:r>
        <w:rPr>
          <w:rFonts w:ascii="Calibri" w:hAnsi="Calibri"/>
          <w:b/>
          <w:color w:val="0D2B55"/>
          <w:sz w:val="44"/>
        </w:rPr>
        <w:t>Performance Evaluation and Optimization Analysis</w:t>
        <w:br/>
        <w:t>for Raksha Prime in Health Insurance</w:t>
      </w:r>
    </w:p>
    <w:p>
      <w:pPr>
        <w:spacing w:before="80" w:after="560"/>
        <w:jc w:val="center"/>
        <w:shd w:val="clear" w:color="auto" w:fill="268BD2"/>
      </w:pPr>
      <w:r>
        <w:rPr>
          <w:rFonts w:ascii="Calibri" w:hAnsi="Calibri"/>
          <w:b/>
          <w:color w:val="FFFFFF"/>
          <w:sz w:val="26"/>
        </w:rPr>
        <w:t xml:space="preserve">  MILESTONE 2 REPORT  </w:t>
      </w:r>
    </w:p>
    <w:p>
      <w:pPr>
        <w:spacing w:before="0" w:after="400"/>
        <w:pBdr>
          <w:bottom w:val="single" w:sz="16" w:color="1A5F9E"/>
        </w:pBdr>
      </w:pPr>
    </w:p>
    <w:tbl>
      <w:tblPr>
        <w:tblW w:type="auto" w:w="0"/>
        <w:jc w:val="center"/>
        <w:tblLook w:firstColumn="1" w:firstRow="1" w:lastColumn="0" w:lastRow="0" w:noHBand="0" w:noVBand="1" w:val="04A0"/>
      </w:tblPr>
      <w:tblGrid>
        <w:gridCol w:w="4703"/>
        <w:gridCol w:w="4703"/>
      </w:tblGrid>
      <w:tr>
        <w:tc>
          <w:tcPr>
            <w:tcW w:type="dxa" w:w="2880"/>
          </w:tcPr>
          <w:p>
            <w:pPr>
              <w:spacing w:before="80" w:after="80"/>
            </w:pPr>
            <w:r>
              <w:rPr>
                <w:rFonts w:ascii="Calibri" w:hAnsi="Calibri"/>
                <w:b/>
                <w:color w:val="1A5F9E"/>
                <w:sz w:val="22"/>
              </w:rPr>
              <w:t>Name</w:t>
            </w:r>
          </w:p>
        </w:tc>
        <w:tc>
          <w:tcPr>
            <w:tcW w:type="dxa" w:w="4703"/>
          </w:tcPr>
          <w:p>
            <w:pPr>
              <w:spacing w:before="80" w:after="80"/>
            </w:pPr>
            <w:r>
              <w:rPr>
                <w:rFonts w:ascii="Calibri" w:hAnsi="Calibri"/>
                <w:color w:val="1A1A2E"/>
                <w:sz w:val="22"/>
              </w:rPr>
              <w:t>[Your Name]</w:t>
            </w:r>
          </w:p>
        </w:tc>
      </w:tr>
      <w:tr>
        <w:tc>
          <w:tcPr>
            <w:tcW w:type="dxa" w:w="2880"/>
          </w:tcPr>
          <w:p>
            <w:pPr>
              <w:spacing w:before="80" w:after="80"/>
            </w:pPr>
            <w:r>
              <w:rPr>
                <w:rFonts w:ascii="Calibri" w:hAnsi="Calibri"/>
                <w:b/>
                <w:color w:val="1A5F9E"/>
                <w:sz w:val="22"/>
              </w:rPr>
              <w:t>Roll Number</w:t>
            </w:r>
          </w:p>
        </w:tc>
        <w:tc>
          <w:tcPr>
            <w:tcW w:type="dxa" w:w="4703"/>
          </w:tcPr>
          <w:p>
            <w:pPr>
              <w:spacing w:before="80" w:after="80"/>
            </w:pPr>
            <w:r>
              <w:rPr>
                <w:rFonts w:ascii="Calibri" w:hAnsi="Calibri"/>
                <w:color w:val="1A1A2E"/>
                <w:sz w:val="22"/>
              </w:rPr>
              <w:t>[Your Roll Number]</w:t>
            </w:r>
          </w:p>
        </w:tc>
      </w:tr>
      <w:tr>
        <w:tc>
          <w:tcPr>
            <w:tcW w:type="dxa" w:w="2880"/>
          </w:tcPr>
          <w:p>
            <w:pPr>
              <w:spacing w:before="80" w:after="80"/>
            </w:pPr>
            <w:r>
              <w:rPr>
                <w:rFonts w:ascii="Calibri" w:hAnsi="Calibri"/>
                <w:b/>
                <w:color w:val="1A5F9E"/>
                <w:sz w:val="22"/>
              </w:rPr>
              <w:t>Company</w:t>
            </w:r>
          </w:p>
        </w:tc>
        <w:tc>
          <w:tcPr>
            <w:tcW w:type="dxa" w:w="4703"/>
          </w:tcPr>
          <w:p>
            <w:pPr>
              <w:spacing w:before="80" w:after="80"/>
            </w:pPr>
            <w:r>
              <w:rPr>
                <w:rFonts w:ascii="Calibri" w:hAnsi="Calibri"/>
                <w:color w:val="1A1A2E"/>
                <w:sz w:val="22"/>
              </w:rPr>
              <w:t>Medi Assist Healthcare Ltd.</w:t>
            </w:r>
          </w:p>
        </w:tc>
      </w:tr>
      <w:tr>
        <w:tc>
          <w:tcPr>
            <w:tcW w:type="dxa" w:w="2880"/>
          </w:tcPr>
          <w:p>
            <w:pPr>
              <w:spacing w:before="80" w:after="80"/>
            </w:pPr>
            <w:r>
              <w:rPr>
                <w:rFonts w:ascii="Calibri" w:hAnsi="Calibri"/>
                <w:b/>
                <w:color w:val="1A5F9E"/>
                <w:sz w:val="22"/>
              </w:rPr>
              <w:t>Department</w:t>
            </w:r>
          </w:p>
        </w:tc>
        <w:tc>
          <w:tcPr>
            <w:tcW w:type="dxa" w:w="4703"/>
          </w:tcPr>
          <w:p>
            <w:pPr>
              <w:spacing w:before="80" w:after="80"/>
            </w:pPr>
            <w:r>
              <w:rPr>
                <w:rFonts w:ascii="Calibri" w:hAnsi="Calibri"/>
                <w:color w:val="1A1A2E"/>
                <w:sz w:val="22"/>
              </w:rPr>
              <w:t>Opus - Raksha Prime</w:t>
            </w:r>
          </w:p>
        </w:tc>
      </w:tr>
      <w:tr>
        <w:tc>
          <w:tcPr>
            <w:tcW w:type="dxa" w:w="2880"/>
          </w:tcPr>
          <w:p>
            <w:pPr>
              <w:spacing w:before="80" w:after="80"/>
            </w:pPr>
            <w:r>
              <w:rPr>
                <w:rFonts w:ascii="Calibri" w:hAnsi="Calibri"/>
                <w:b/>
                <w:color w:val="1A5F9E"/>
                <w:sz w:val="22"/>
              </w:rPr>
              <w:t>Academic Year</w:t>
            </w:r>
          </w:p>
        </w:tc>
        <w:tc>
          <w:tcPr>
            <w:tcW w:type="dxa" w:w="4703"/>
          </w:tcPr>
          <w:p>
            <w:pPr>
              <w:spacing w:before="80" w:after="80"/>
            </w:pPr>
            <w:r>
              <w:rPr>
                <w:rFonts w:ascii="Calibri" w:hAnsi="Calibri"/>
                <w:color w:val="1A1A2E"/>
                <w:sz w:val="22"/>
              </w:rPr>
              <w:t>[Academic Year]</w:t>
            </w:r>
          </w:p>
        </w:tc>
      </w:tr>
      <w:tr>
        <w:tc>
          <w:tcPr>
            <w:tcW w:type="dxa" w:w="2880"/>
          </w:tcPr>
          <w:p>
            <w:pPr>
              <w:spacing w:before="80" w:after="80"/>
            </w:pPr>
            <w:r>
              <w:rPr>
                <w:rFonts w:ascii="Calibri" w:hAnsi="Calibri"/>
                <w:b/>
                <w:color w:val="1A5F9E"/>
                <w:sz w:val="22"/>
              </w:rPr>
              <w:t>Submitted To</w:t>
            </w:r>
          </w:p>
        </w:tc>
        <w:tc>
          <w:tcPr>
            <w:tcW w:type="dxa" w:w="4703"/>
          </w:tcPr>
          <w:p>
            <w:pPr>
              <w:spacing w:before="80" w:after="80"/>
            </w:pPr>
            <w:r>
              <w:rPr>
                <w:rFonts w:ascii="Calibri" w:hAnsi="Calibri"/>
                <w:color w:val="1A1A2E"/>
                <w:sz w:val="22"/>
              </w:rPr>
              <w:t>Faculty Mentor</w:t>
            </w:r>
          </w:p>
        </w:tc>
      </w:tr>
    </w:tbl>
    <w:p>
      <w:r>
        <w:br w:type="page"/>
      </w:r>
    </w:p>
    <w:p>
      <w:pPr>
        <w:spacing w:before="280" w:after="80"/>
        <w:jc w:val="left"/>
      </w:pPr>
      <w:r>
        <w:rPr>
          <w:rFonts w:ascii="Calibri" w:hAnsi="Calibri"/>
          <w:b/>
          <w:color w:val="0D2B55"/>
          <w:sz w:val="30"/>
        </w:rPr>
        <w:t>1.  Project Context</w:t>
      </w:r>
    </w:p>
    <w:p>
      <w:pPr>
        <w:spacing w:before="40" w:after="80"/>
      </w:pPr>
      <w:r>
        <w:rPr>
          <w:rFonts w:ascii="Calibri" w:hAnsi="Calibri"/>
          <w:color w:val="1A1A2E"/>
          <w:sz w:val="21"/>
        </w:rPr>
        <w:t>Medi Assist Healthcare Ltd. is India's largest healthcare insurance Third Party Administrator (TPA), facilitating seamless coordination between insurers, hospitals, and policyholders. The organization manages both cashless and reimbursement claims and leverages technology to enhance efficiency and reduce turnaround time. The Raksha Prime product focuses on improving the post-discharge experience and overall operational efficiency.</w:t>
      </w:r>
    </w:p>
    <w:p>
      <w:pPr>
        <w:spacing w:before="40" w:after="80"/>
      </w:pPr>
      <w:r>
        <w:rPr>
          <w:rFonts w:ascii="Calibri" w:hAnsi="Calibri"/>
          <w:color w:val="1A1A2E"/>
          <w:sz w:val="21"/>
        </w:rPr>
        <w:t>As a Data Analytics Intern in the Opus Department, my role involves analyzing claims and operational data, processing daily leads, updating Out-of-Pocket (OOP) data, and working with OPUS-tagged datasets to support performance evaluation.</w:t>
      </w:r>
    </w:p>
    <w:p>
      <w:pPr>
        <w:spacing w:before="120" w:after="40"/>
        <w:jc w:val="left"/>
      </w:pPr>
      <w:r>
        <w:rPr>
          <w:rFonts w:ascii="Calibri" w:hAnsi="Calibri"/>
          <w:b/>
          <w:color w:val="1A5F9E"/>
          <w:sz w:val="22"/>
        </w:rPr>
        <w:t>Project Objective</w:t>
      </w:r>
    </w:p>
    <w:p>
      <w:pPr>
        <w:spacing w:before="40" w:after="80"/>
      </w:pPr>
      <w:r>
        <w:rPr>
          <w:rFonts w:ascii="Calibri" w:hAnsi="Calibri"/>
          <w:color w:val="1A1A2E"/>
          <w:sz w:val="21"/>
        </w:rPr>
        <w:t>To analyze Raksha Prime operational data to identify inefficiencies, delays, and cost patterns, and provide data-driven recommendations for process optimization.</w:t>
      </w:r>
    </w:p>
    <w:p>
      <w:pPr>
        <w:spacing w:before="280" w:after="80"/>
        <w:jc w:val="left"/>
      </w:pPr>
      <w:r>
        <w:rPr>
          <w:rFonts w:ascii="Calibri" w:hAnsi="Calibri"/>
          <w:b/>
          <w:color w:val="0D2B55"/>
          <w:sz w:val="30"/>
        </w:rPr>
        <w:t>2.  Key Business Questions</w:t>
      </w:r>
    </w:p>
    <w:p>
      <w:pPr>
        <w:spacing w:before="40" w:after="80"/>
      </w:pPr>
      <w:r>
        <w:rPr>
          <w:rFonts w:ascii="Calibri" w:hAnsi="Calibri"/>
          <w:color w:val="1A1A2E"/>
          <w:sz w:val="21"/>
        </w:rPr>
        <w:t>This project is designed to answer the following critical questions:</w:t>
      </w:r>
    </w:p>
    <w:p>
      <w:pPr>
        <w:pStyle w:val="ListBullet"/>
        <w:spacing w:before="20" w:after="20"/>
      </w:pPr>
      <w:r>
        <w:rPr>
          <w:rFonts w:ascii="Calibri" w:hAnsi="Calibri"/>
          <w:color w:val="1A1A2E"/>
          <w:sz w:val="21"/>
        </w:rPr>
        <w:t>What factors contribute to delays in patient discharge under Raksha Prime?</w:t>
      </w:r>
    </w:p>
    <w:p>
      <w:pPr>
        <w:pStyle w:val="ListBullet"/>
        <w:spacing w:before="20" w:after="20"/>
      </w:pPr>
      <w:r>
        <w:rPr>
          <w:rFonts w:ascii="Calibri" w:hAnsi="Calibri"/>
          <w:color w:val="1A1A2E"/>
          <w:sz w:val="21"/>
        </w:rPr>
        <w:t>Which hospitals show abnormal claim or billing patterns?</w:t>
      </w:r>
    </w:p>
    <w:p>
      <w:pPr>
        <w:pStyle w:val="ListBullet"/>
        <w:spacing w:before="20" w:after="20"/>
      </w:pPr>
      <w:r>
        <w:rPr>
          <w:rFonts w:ascii="Calibri" w:hAnsi="Calibri"/>
          <w:color w:val="1A1A2E"/>
          <w:sz w:val="21"/>
        </w:rPr>
        <w:t>How does Out-of-Pocket (OOP) vary across cases and hospitals?</w:t>
      </w:r>
    </w:p>
    <w:p>
      <w:pPr>
        <w:pStyle w:val="ListBullet"/>
        <w:spacing w:before="20" w:after="20"/>
      </w:pPr>
      <w:r>
        <w:rPr>
          <w:rFonts w:ascii="Calibri" w:hAnsi="Calibri"/>
          <w:color w:val="1A1A2E"/>
          <w:sz w:val="21"/>
        </w:rPr>
        <w:t>Are there inefficiencies in the claims processing workflow?</w:t>
      </w:r>
    </w:p>
    <w:p>
      <w:pPr>
        <w:pStyle w:val="ListBullet"/>
        <w:spacing w:before="20" w:after="20"/>
      </w:pPr>
      <w:r>
        <w:rPr>
          <w:rFonts w:ascii="Calibri" w:hAnsi="Calibri"/>
          <w:color w:val="1A1A2E"/>
          <w:sz w:val="21"/>
        </w:rPr>
        <w:t>Can patterns in data indicate potential risks or inconsistencies?</w:t>
      </w:r>
    </w:p>
    <w:p>
      <w:pPr>
        <w:spacing w:before="280" w:after="80"/>
        <w:shd w:val="clear" w:color="auto" w:fill="268BD2"/>
      </w:pPr>
      <w:r>
        <w:rPr>
          <w:rFonts w:ascii="Calibri" w:hAnsi="Calibri"/>
          <w:b/>
          <w:color w:val="FFFFFF"/>
          <w:sz w:val="23"/>
        </w:rPr>
        <w:t xml:space="preserve">  FOCUS AREA 1: Clarity of Thought &amp; Timeline Management  </w:t>
      </w:r>
    </w:p>
    <w:p>
      <w:pPr>
        <w:spacing w:before="280" w:after="80"/>
        <w:jc w:val="left"/>
      </w:pPr>
      <w:r>
        <w:rPr>
          <w:rFonts w:ascii="Calibri" w:hAnsi="Calibri"/>
          <w:b/>
          <w:color w:val="0D2B55"/>
          <w:sz w:val="28"/>
        </w:rPr>
        <w:t>3.  Deliverables Mapping</w:t>
      </w:r>
    </w:p>
    <w:p>
      <w:pPr>
        <w:spacing w:before="40" w:after="80"/>
      </w:pPr>
      <w:r>
        <w:rPr>
          <w:rFonts w:ascii="Calibri" w:hAnsi="Calibri"/>
          <w:color w:val="1A1A2E"/>
          <w:sz w:val="21"/>
        </w:rPr>
        <w:t>Each deliverable is explicitly linked to a business question with a defined expected outcome:</w:t>
      </w:r>
    </w:p>
    <w:p>
      <w:pPr>
        <w:spacing w:after="80"/>
      </w:pPr>
    </w:p>
    <w:tbl>
      <w:tblPr>
        <w:tblStyle w:val="TableGrid"/>
        <w:tblW w:type="auto" w:w="0"/>
        <w:jc w:val="center"/>
        <w:tblLook w:firstColumn="1" w:firstRow="1" w:lastColumn="0" w:lastRow="0" w:noHBand="0" w:noVBand="1" w:val="04A0"/>
      </w:tblPr>
      <w:tblGrid>
        <w:gridCol w:w="3135"/>
        <w:gridCol w:w="3135"/>
        <w:gridCol w:w="3135"/>
      </w:tblGrid>
      <w:tr>
        <w:tc>
          <w:tcPr>
            <w:tcW w:type="dxa" w:w="3024"/>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Deliverable</w:t>
            </w:r>
          </w:p>
        </w:tc>
        <w:tc>
          <w:tcPr>
            <w:tcW w:type="dxa" w:w="3600"/>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Business Question Addressed</w:t>
            </w:r>
          </w:p>
        </w:tc>
        <w:tc>
          <w:tcPr>
            <w:tcW w:type="dxa" w:w="3312"/>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Expected Outcome</w:t>
            </w:r>
          </w:p>
        </w:tc>
      </w:tr>
      <w:tr>
        <w:tc>
          <w:tcPr>
            <w:tcW w:type="dxa" w:w="3024"/>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Claims Data Analysis</w:t>
            </w:r>
          </w:p>
        </w:tc>
        <w:tc>
          <w:tcPr>
            <w:tcW w:type="dxa" w:w="360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Identify delay factors</w:t>
            </w:r>
          </w:p>
        </w:tc>
        <w:tc>
          <w:tcPr>
            <w:tcW w:type="dxa" w:w="3312"/>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Key drivers of delays</w:t>
            </w:r>
          </w:p>
        </w:tc>
      </w:tr>
      <w:tr>
        <w:tc>
          <w:tcPr>
            <w:tcW w:type="dxa" w:w="3024"/>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OOP Analysis</w:t>
            </w:r>
          </w:p>
        </w:tc>
        <w:tc>
          <w:tcPr>
            <w:tcW w:type="dxa" w:w="3600"/>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Understand cost variation</w:t>
            </w:r>
          </w:p>
        </w:tc>
        <w:tc>
          <w:tcPr>
            <w:tcW w:type="dxa" w:w="3312"/>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Patient cost insights</w:t>
            </w:r>
          </w:p>
        </w:tc>
      </w:tr>
      <w:tr>
        <w:tc>
          <w:tcPr>
            <w:tcW w:type="dxa" w:w="3024"/>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Hospital-Level Analysis</w:t>
            </w:r>
          </w:p>
        </w:tc>
        <w:tc>
          <w:tcPr>
            <w:tcW w:type="dxa" w:w="360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Detect abnormal patterns</w:t>
            </w:r>
          </w:p>
        </w:tc>
        <w:tc>
          <w:tcPr>
            <w:tcW w:type="dxa" w:w="3312"/>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High-risk hospital identification</w:t>
            </w:r>
          </w:p>
        </w:tc>
      </w:tr>
      <w:tr>
        <w:tc>
          <w:tcPr>
            <w:tcW w:type="dxa" w:w="3024"/>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Process Flow Analysis</w:t>
            </w:r>
          </w:p>
        </w:tc>
        <w:tc>
          <w:tcPr>
            <w:tcW w:type="dxa" w:w="3600"/>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Identify inefficiencies</w:t>
            </w:r>
          </w:p>
        </w:tc>
        <w:tc>
          <w:tcPr>
            <w:tcW w:type="dxa" w:w="3312"/>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Process improvement areas</w:t>
            </w:r>
          </w:p>
        </w:tc>
      </w:tr>
      <w:tr>
        <w:tc>
          <w:tcPr>
            <w:tcW w:type="dxa" w:w="3024"/>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Final Report</w:t>
            </w:r>
          </w:p>
        </w:tc>
        <w:tc>
          <w:tcPr>
            <w:tcW w:type="dxa" w:w="360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Consolidated insights</w:t>
            </w:r>
          </w:p>
        </w:tc>
        <w:tc>
          <w:tcPr>
            <w:tcW w:type="dxa" w:w="3312"/>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Actionable recommendations</w:t>
            </w:r>
          </w:p>
        </w:tc>
      </w:tr>
    </w:tbl>
    <w:p>
      <w:pPr>
        <w:spacing w:before="280" w:after="80"/>
        <w:jc w:val="left"/>
      </w:pPr>
      <w:r>
        <w:rPr>
          <w:rFonts w:ascii="Calibri" w:hAnsi="Calibri"/>
          <w:b/>
          <w:color w:val="0D2B55"/>
          <w:sz w:val="28"/>
        </w:rPr>
        <w:t>4.  Work Breakdown &amp;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448"/>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Phase</w:t>
            </w:r>
          </w:p>
        </w:tc>
        <w:tc>
          <w:tcPr>
            <w:tcW w:type="dxa" w:w="3888"/>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Tasks</w:t>
            </w:r>
          </w:p>
        </w:tc>
        <w:tc>
          <w:tcPr>
            <w:tcW w:type="dxa" w:w="1872"/>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Timeline</w:t>
            </w:r>
          </w:p>
        </w:tc>
        <w:tc>
          <w:tcPr>
            <w:tcW w:type="dxa" w:w="1728"/>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Status</w:t>
            </w:r>
          </w:p>
        </w:tc>
      </w:tr>
      <w:tr>
        <w:tc>
          <w:tcPr>
            <w:tcW w:type="dxa" w:w="244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Data Understanding</w:t>
            </w:r>
          </w:p>
        </w:tc>
        <w:tc>
          <w:tcPr>
            <w:tcW w:type="dxa" w:w="388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Learn claims, OOP, OPUS data</w:t>
            </w:r>
          </w:p>
        </w:tc>
        <w:tc>
          <w:tcPr>
            <w:tcW w:type="dxa" w:w="1872"/>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Week 1-2</w:t>
            </w:r>
          </w:p>
        </w:tc>
        <w:tc>
          <w:tcPr>
            <w:tcW w:type="dxa" w:w="172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Completed</w:t>
            </w:r>
          </w:p>
        </w:tc>
      </w:tr>
      <w:tr>
        <w:tc>
          <w:tcPr>
            <w:tcW w:type="dxa" w:w="244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Data Processing</w:t>
            </w:r>
          </w:p>
        </w:tc>
        <w:tc>
          <w:tcPr>
            <w:tcW w:type="dxa" w:w="388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Daily leads, OOP updates, OPUS handling</w:t>
            </w:r>
          </w:p>
        </w:tc>
        <w:tc>
          <w:tcPr>
            <w:tcW w:type="dxa" w:w="1872"/>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Week 2-3</w:t>
            </w:r>
          </w:p>
        </w:tc>
        <w:tc>
          <w:tcPr>
            <w:tcW w:type="dxa" w:w="172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Ongoing</w:t>
            </w:r>
          </w:p>
        </w:tc>
      </w:tr>
      <w:tr>
        <w:tc>
          <w:tcPr>
            <w:tcW w:type="dxa" w:w="244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Data Cleaning</w:t>
            </w:r>
          </w:p>
        </w:tc>
        <w:tc>
          <w:tcPr>
            <w:tcW w:type="dxa" w:w="388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Handle missing/inconsistent data</w:t>
            </w:r>
          </w:p>
        </w:tc>
        <w:tc>
          <w:tcPr>
            <w:tcW w:type="dxa" w:w="1872"/>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Week 3-4</w:t>
            </w:r>
          </w:p>
        </w:tc>
        <w:tc>
          <w:tcPr>
            <w:tcW w:type="dxa" w:w="172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Ongoing</w:t>
            </w:r>
          </w:p>
        </w:tc>
      </w:tr>
      <w:tr>
        <w:tc>
          <w:tcPr>
            <w:tcW w:type="dxa" w:w="244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Exploratory Analysis</w:t>
            </w:r>
          </w:p>
        </w:tc>
        <w:tc>
          <w:tcPr>
            <w:tcW w:type="dxa" w:w="388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Identify trends &amp; patterns</w:t>
            </w:r>
          </w:p>
        </w:tc>
        <w:tc>
          <w:tcPr>
            <w:tcW w:type="dxa" w:w="1872"/>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Week 4-6</w:t>
            </w:r>
          </w:p>
        </w:tc>
        <w:tc>
          <w:tcPr>
            <w:tcW w:type="dxa" w:w="172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Planned</w:t>
            </w:r>
          </w:p>
        </w:tc>
      </w:tr>
      <w:tr>
        <w:tc>
          <w:tcPr>
            <w:tcW w:type="dxa" w:w="244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Insight Generation</w:t>
            </w:r>
          </w:p>
        </w:tc>
        <w:tc>
          <w:tcPr>
            <w:tcW w:type="dxa" w:w="388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Develop findings</w:t>
            </w:r>
          </w:p>
        </w:tc>
        <w:tc>
          <w:tcPr>
            <w:tcW w:type="dxa" w:w="1872"/>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Week 6-7</w:t>
            </w:r>
          </w:p>
        </w:tc>
        <w:tc>
          <w:tcPr>
            <w:tcW w:type="dxa" w:w="1728"/>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Planned</w:t>
            </w:r>
          </w:p>
        </w:tc>
      </w:tr>
      <w:tr>
        <w:tc>
          <w:tcPr>
            <w:tcW w:type="dxa" w:w="244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Final Report</w:t>
            </w:r>
          </w:p>
        </w:tc>
        <w:tc>
          <w:tcPr>
            <w:tcW w:type="dxa" w:w="388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Recommendations &amp; summary</w:t>
            </w:r>
          </w:p>
        </w:tc>
        <w:tc>
          <w:tcPr>
            <w:tcW w:type="dxa" w:w="1872"/>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Week 7-8</w:t>
            </w:r>
          </w:p>
        </w:tc>
        <w:tc>
          <w:tcPr>
            <w:tcW w:type="dxa" w:w="1728"/>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Planned</w:t>
            </w:r>
          </w:p>
        </w:tc>
      </w:tr>
    </w:tbl>
    <w:p>
      <w:pPr>
        <w:spacing w:before="280" w:after="80"/>
        <w:shd w:val="clear" w:color="auto" w:fill="268BD2"/>
      </w:pPr>
      <w:r>
        <w:rPr>
          <w:rFonts w:ascii="Calibri" w:hAnsi="Calibri"/>
          <w:b/>
          <w:color w:val="FFFFFF"/>
          <w:sz w:val="23"/>
        </w:rPr>
        <w:t xml:space="preserve">  FOCUS AREA 2: Content Knowledge  </w:t>
      </w:r>
    </w:p>
    <w:p>
      <w:pPr>
        <w:spacing w:before="280" w:after="80"/>
        <w:jc w:val="left"/>
      </w:pPr>
      <w:r>
        <w:rPr>
          <w:rFonts w:ascii="Calibri" w:hAnsi="Calibri"/>
          <w:b/>
          <w:color w:val="0D2B55"/>
          <w:sz w:val="28"/>
        </w:rPr>
        <w:t>5.  Data &amp; Information Requirements</w:t>
      </w:r>
    </w:p>
    <w:p>
      <w:pPr>
        <w:spacing w:before="40" w:after="80"/>
      </w:pPr>
      <w:r>
        <w:rPr>
          <w:rFonts w:ascii="Calibri" w:hAnsi="Calibri"/>
          <w:color w:val="1A1A2E"/>
          <w:sz w:val="21"/>
        </w:rPr>
        <w:t>The following data is required to execute the analysis effectively:</w:t>
      </w:r>
    </w:p>
    <w:p>
      <w:pPr>
        <w:pStyle w:val="ListBullet"/>
        <w:spacing w:before="20" w:after="20"/>
      </w:pPr>
      <w:r>
        <w:rPr>
          <w:rFonts w:ascii="Calibri" w:hAnsi="Calibri"/>
          <w:color w:val="1A1A2E"/>
          <w:sz w:val="21"/>
        </w:rPr>
        <w:t>Claims data — amount, approval status, processing time</w:t>
      </w:r>
    </w:p>
    <w:p>
      <w:pPr>
        <w:pStyle w:val="ListBullet"/>
        <w:spacing w:before="20" w:after="20"/>
      </w:pPr>
      <w:r>
        <w:rPr>
          <w:rFonts w:ascii="Calibri" w:hAnsi="Calibri"/>
          <w:color w:val="1A1A2E"/>
          <w:sz w:val="21"/>
        </w:rPr>
        <w:t>Out-of-Pocket (OOP) data</w:t>
      </w:r>
    </w:p>
    <w:p>
      <w:pPr>
        <w:pStyle w:val="ListBullet"/>
        <w:spacing w:before="20" w:after="20"/>
      </w:pPr>
      <w:r>
        <w:rPr>
          <w:rFonts w:ascii="Calibri" w:hAnsi="Calibri"/>
          <w:color w:val="1A1A2E"/>
          <w:sz w:val="21"/>
        </w:rPr>
        <w:t>Hospital-level data — tiers, locations, historical performance</w:t>
      </w:r>
    </w:p>
    <w:p>
      <w:pPr>
        <w:pStyle w:val="ListBullet"/>
        <w:spacing w:before="20" w:after="20"/>
      </w:pPr>
      <w:r>
        <w:rPr>
          <w:rFonts w:ascii="Calibri" w:hAnsi="Calibri"/>
          <w:color w:val="1A1A2E"/>
          <w:sz w:val="21"/>
        </w:rPr>
        <w:t>Patient-level data — demographics and policy details</w:t>
      </w:r>
    </w:p>
    <w:p>
      <w:pPr>
        <w:pStyle w:val="ListBullet"/>
        <w:spacing w:before="20" w:after="20"/>
      </w:pPr>
      <w:r>
        <w:rPr>
          <w:rFonts w:ascii="Calibri" w:hAnsi="Calibri"/>
          <w:color w:val="1A1A2E"/>
          <w:sz w:val="21"/>
        </w:rPr>
        <w:t>Timeline data — admission to discharge markers</w:t>
      </w:r>
    </w:p>
    <w:p>
      <w:pPr>
        <w:pStyle w:val="ListBullet"/>
        <w:spacing w:before="20" w:after="20"/>
      </w:pPr>
      <w:r>
        <w:rPr>
          <w:rFonts w:ascii="Calibri" w:hAnsi="Calibri"/>
          <w:color w:val="1A1A2E"/>
          <w:sz w:val="21"/>
        </w:rPr>
        <w:t>OPUS-tagged operational data</w:t>
      </w:r>
    </w:p>
    <w:p>
      <w:pPr>
        <w:spacing w:before="280" w:after="80"/>
        <w:jc w:val="left"/>
      </w:pPr>
      <w:r>
        <w:rPr>
          <w:rFonts w:ascii="Calibri" w:hAnsi="Calibri"/>
          <w:b/>
          <w:color w:val="0D2B55"/>
          <w:sz w:val="28"/>
        </w:rPr>
        <w:t>6.  Data Availability &amp; Extraction Status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04"/>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Data Type</w:t>
            </w:r>
          </w:p>
        </w:tc>
        <w:tc>
          <w:tcPr>
            <w:tcW w:type="dxa" w:w="2016"/>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Availability</w:t>
            </w:r>
          </w:p>
        </w:tc>
        <w:tc>
          <w:tcPr>
            <w:tcW w:type="dxa" w:w="2736"/>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Source</w:t>
            </w:r>
          </w:p>
        </w:tc>
        <w:tc>
          <w:tcPr>
            <w:tcW w:type="dxa" w:w="2880"/>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Status</w:t>
            </w:r>
          </w:p>
        </w:tc>
      </w:tr>
      <w:tr>
        <w:tc>
          <w:tcPr>
            <w:tcW w:type="dxa" w:w="2304"/>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Claims Data</w:t>
            </w:r>
          </w:p>
        </w:tc>
        <w:tc>
          <w:tcPr>
            <w:tcW w:type="dxa" w:w="201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Available</w:t>
            </w:r>
          </w:p>
        </w:tc>
        <w:tc>
          <w:tcPr>
            <w:tcW w:type="dxa" w:w="273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Internal systems</w:t>
            </w:r>
          </w:p>
        </w:tc>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Accessed</w:t>
            </w:r>
          </w:p>
        </w:tc>
      </w:tr>
      <w:tr>
        <w:tc>
          <w:tcPr>
            <w:tcW w:type="dxa" w:w="2304"/>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OOP Data</w:t>
            </w:r>
          </w:p>
        </w:tc>
        <w:tc>
          <w:tcPr>
            <w:tcW w:type="dxa" w:w="2016"/>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Available</w:t>
            </w:r>
          </w:p>
        </w:tc>
        <w:tc>
          <w:tcPr>
            <w:tcW w:type="dxa" w:w="2736"/>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Daily updates</w:t>
            </w:r>
          </w:p>
        </w:tc>
        <w:tc>
          <w:tcPr>
            <w:tcW w:type="dxa" w:w="2880"/>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Regularly processed</w:t>
            </w:r>
          </w:p>
        </w:tc>
      </w:tr>
      <w:tr>
        <w:tc>
          <w:tcPr>
            <w:tcW w:type="dxa" w:w="2304"/>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Hospital Data</w:t>
            </w:r>
          </w:p>
        </w:tc>
        <w:tc>
          <w:tcPr>
            <w:tcW w:type="dxa" w:w="201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Available</w:t>
            </w:r>
          </w:p>
        </w:tc>
        <w:tc>
          <w:tcPr>
            <w:tcW w:type="dxa" w:w="273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OPUS system</w:t>
            </w:r>
          </w:p>
        </w:tc>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Partially explored</w:t>
            </w:r>
          </w:p>
        </w:tc>
      </w:tr>
      <w:tr>
        <w:tc>
          <w:tcPr>
            <w:tcW w:type="dxa" w:w="2304"/>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Patient Data</w:t>
            </w:r>
          </w:p>
        </w:tc>
        <w:tc>
          <w:tcPr>
            <w:tcW w:type="dxa" w:w="2016"/>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Available</w:t>
            </w:r>
          </w:p>
        </w:tc>
        <w:tc>
          <w:tcPr>
            <w:tcW w:type="dxa" w:w="2736"/>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Claims datasets</w:t>
            </w:r>
          </w:p>
        </w:tc>
        <w:tc>
          <w:tcPr>
            <w:tcW w:type="dxa" w:w="2880"/>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Accessed</w:t>
            </w:r>
          </w:p>
        </w:tc>
      </w:tr>
      <w:tr>
        <w:tc>
          <w:tcPr>
            <w:tcW w:type="dxa" w:w="2304"/>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Timeline Data</w:t>
            </w:r>
          </w:p>
        </w:tc>
        <w:tc>
          <w:tcPr>
            <w:tcW w:type="dxa" w:w="201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Limited</w:t>
            </w:r>
          </w:p>
        </w:tc>
        <w:tc>
          <w:tcPr>
            <w:tcW w:type="dxa" w:w="273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Claims logs</w:t>
            </w:r>
          </w:p>
        </w:tc>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Needs structuring</w:t>
            </w:r>
          </w:p>
        </w:tc>
      </w:tr>
    </w:tbl>
    <w:p>
      <w:pPr>
        <w:spacing w:before="280" w:after="80"/>
        <w:jc w:val="left"/>
      </w:pPr>
      <w:r>
        <w:rPr>
          <w:rFonts w:ascii="Calibri" w:hAnsi="Calibri"/>
          <w:b/>
          <w:color w:val="0D2B55"/>
          <w:sz w:val="28"/>
        </w:rPr>
        <w:t>7.  Preliminary Insights &amp; Observations</w:t>
      </w:r>
    </w:p>
    <w:p>
      <w:pPr>
        <w:spacing w:before="40" w:after="80"/>
      </w:pPr>
      <w:r>
        <w:rPr>
          <w:rFonts w:ascii="Calibri" w:hAnsi="Calibri"/>
          <w:color w:val="1A1A2E"/>
          <w:sz w:val="21"/>
        </w:rPr>
        <w:t>Based on initial analysis and operational exposure, the following patterns have been observed:</w:t>
      </w:r>
    </w:p>
    <w:p>
      <w:pPr>
        <w:pStyle w:val="ListBullet"/>
        <w:spacing w:before="20" w:after="20"/>
      </w:pPr>
      <w:r>
        <w:rPr>
          <w:rFonts w:ascii="Calibri" w:hAnsi="Calibri"/>
          <w:color w:val="1A1A2E"/>
          <w:sz w:val="21"/>
        </w:rPr>
        <w:t>Certain hospitals consistently show higher claim amounts compared to others.</w:t>
      </w:r>
    </w:p>
    <w:p>
      <w:pPr>
        <w:pStyle w:val="ListBullet"/>
        <w:spacing w:before="20" w:after="20"/>
      </w:pPr>
      <w:r>
        <w:rPr>
          <w:rFonts w:ascii="Calibri" w:hAnsi="Calibri"/>
          <w:color w:val="1A1A2E"/>
          <w:sz w:val="21"/>
        </w:rPr>
        <w:t>Significant variation exists in Out-of-Pocket (OOP) expenses across similar cases.</w:t>
      </w:r>
    </w:p>
    <w:p>
      <w:pPr>
        <w:pStyle w:val="ListBullet"/>
        <w:spacing w:before="20" w:after="20"/>
      </w:pPr>
      <w:r>
        <w:rPr>
          <w:rFonts w:ascii="Calibri" w:hAnsi="Calibri"/>
          <w:color w:val="1A1A2E"/>
          <w:sz w:val="21"/>
        </w:rPr>
        <w:t>Delays in discharge are often linked to documentation gaps and processing inefficiencies.</w:t>
      </w:r>
    </w:p>
    <w:p>
      <w:pPr>
        <w:pStyle w:val="ListBullet"/>
        <w:spacing w:before="20" w:after="20"/>
      </w:pPr>
      <w:r>
        <w:rPr>
          <w:rFonts w:ascii="Calibri" w:hAnsi="Calibri"/>
          <w:color w:val="1A1A2E"/>
          <w:sz w:val="21"/>
        </w:rPr>
        <w:t>OPUS-tagged data indicates inconsistencies in handling specific cases.</w:t>
      </w:r>
    </w:p>
    <w:p>
      <w:pPr>
        <w:pStyle w:val="ListBullet"/>
        <w:spacing w:before="20" w:after="20"/>
      </w:pPr>
      <w:r>
        <w:rPr>
          <w:rFonts w:ascii="Calibri" w:hAnsi="Calibri"/>
          <w:color w:val="1A1A2E"/>
          <w:sz w:val="21"/>
        </w:rPr>
        <w:t>Initial observations suggest scope for improving turnaround time and process standardization.</w:t>
      </w:r>
    </w:p>
    <w:p>
      <w:pPr>
        <w:spacing w:before="280" w:after="80"/>
        <w:shd w:val="clear" w:color="auto" w:fill="268BD2"/>
      </w:pPr>
      <w:r>
        <w:rPr>
          <w:rFonts w:ascii="Calibri" w:hAnsi="Calibri"/>
          <w:b/>
          <w:color w:val="FFFFFF"/>
          <w:sz w:val="23"/>
        </w:rPr>
        <w:t xml:space="preserve">  FOCUS AREA 3: Risk Identification  </w:t>
      </w:r>
    </w:p>
    <w:p>
      <w:pPr>
        <w:spacing w:before="280" w:after="80"/>
        <w:jc w:val="left"/>
      </w:pPr>
      <w:r>
        <w:rPr>
          <w:rFonts w:ascii="Calibri" w:hAnsi="Calibri"/>
          <w:b/>
          <w:color w:val="0D2B55"/>
          <w:sz w:val="28"/>
        </w:rPr>
        <w:t>8.  Risks &amp; Mitigation Plan</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Risk</w:t>
            </w:r>
          </w:p>
        </w:tc>
        <w:tc>
          <w:tcPr>
            <w:tcW w:type="dxa" w:w="2880"/>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Impact</w:t>
            </w:r>
          </w:p>
        </w:tc>
        <w:tc>
          <w:tcPr>
            <w:tcW w:type="dxa" w:w="4176"/>
            <w:shd w:val="clear" w:color="auto" w:fill="1A5F9E"/>
            <w:tcBorders>
              <w:top w:val="single" w:sz="4" w:color="1A5F9E"/>
              <w:left w:val="single" w:sz="4" w:color="1A5F9E"/>
              <w:bottom w:val="single" w:sz="4" w:color="1A5F9E"/>
              <w:right w:val="single" w:sz="4" w:color="1A5F9E"/>
            </w:tcBorders>
            <w:vAlign w:val="center"/>
          </w:tcPr>
          <w:p>
            <w:pPr>
              <w:spacing w:before="80" w:after="80"/>
              <w:jc w:val="center"/>
            </w:pPr>
            <w:r>
              <w:rPr>
                <w:rFonts w:ascii="Calibri" w:hAnsi="Calibri"/>
                <w:b/>
                <w:color w:val="FFFFFF"/>
                <w:sz w:val="20"/>
              </w:rPr>
              <w:t>Mitigation Strategy</w:t>
            </w:r>
          </w:p>
        </w:tc>
      </w:tr>
      <w:tr>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Incomplete or missing data</w:t>
            </w:r>
          </w:p>
        </w:tc>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Inaccurate insights</w:t>
            </w:r>
          </w:p>
        </w:tc>
        <w:tc>
          <w:tcPr>
            <w:tcW w:type="dxa" w:w="417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Data validation and cleaning</w:t>
            </w:r>
          </w:p>
        </w:tc>
      </w:tr>
      <w:tr>
        <w:tc>
          <w:tcPr>
            <w:tcW w:type="dxa" w:w="2880"/>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Data inconsistency</w:t>
            </w:r>
          </w:p>
        </w:tc>
        <w:tc>
          <w:tcPr>
            <w:tcW w:type="dxa" w:w="2880"/>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Incorrect analysis</w:t>
            </w:r>
          </w:p>
        </w:tc>
        <w:tc>
          <w:tcPr>
            <w:tcW w:type="dxa" w:w="4176"/>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Standardization of datasets</w:t>
            </w:r>
          </w:p>
        </w:tc>
      </w:tr>
      <w:tr>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Limited data access</w:t>
            </w:r>
          </w:p>
        </w:tc>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Delays in progress</w:t>
            </w:r>
          </w:p>
        </w:tc>
        <w:tc>
          <w:tcPr>
            <w:tcW w:type="dxa" w:w="417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Coordination with internal teams</w:t>
            </w:r>
          </w:p>
        </w:tc>
      </w:tr>
      <w:tr>
        <w:tc>
          <w:tcPr>
            <w:tcW w:type="dxa" w:w="2880"/>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Time constraints</w:t>
            </w:r>
          </w:p>
        </w:tc>
        <w:tc>
          <w:tcPr>
            <w:tcW w:type="dxa" w:w="2880"/>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Incomplete deliverables</w:t>
            </w:r>
          </w:p>
        </w:tc>
        <w:tc>
          <w:tcPr>
            <w:tcW w:type="dxa" w:w="4176"/>
            <w:shd w:val="clear" w:color="auto" w:fill="FFFFFF"/>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Strict adherence to timeline</w:t>
            </w:r>
          </w:p>
        </w:tc>
      </w:tr>
      <w:tr>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Operational complexity</w:t>
            </w:r>
          </w:p>
        </w:tc>
        <w:tc>
          <w:tcPr>
            <w:tcW w:type="dxa" w:w="2880"/>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Misinterpretation of data</w:t>
            </w:r>
          </w:p>
        </w:tc>
        <w:tc>
          <w:tcPr>
            <w:tcW w:type="dxa" w:w="4176"/>
            <w:shd w:val="clear" w:color="auto" w:fill="EAF4FB"/>
            <w:tcBorders>
              <w:top w:val="single" w:sz="4" w:color="AECDE6"/>
              <w:left w:val="single" w:sz="4" w:color="AECDE6"/>
              <w:bottom w:val="single" w:sz="4" w:color="AECDE6"/>
              <w:right w:val="single" w:sz="4" w:color="AECDE6"/>
            </w:tcBorders>
            <w:vAlign w:val="center"/>
          </w:tcPr>
          <w:p>
            <w:pPr>
              <w:spacing w:before="60" w:after="60"/>
            </w:pPr>
            <w:r>
              <w:rPr>
                <w:rFonts w:ascii="Calibri" w:hAnsi="Calibri"/>
                <w:color w:val="1A1A2E"/>
                <w:sz w:val="19"/>
              </w:rPr>
              <w:t>Continuous consultation with team</w:t>
            </w:r>
          </w:p>
        </w:tc>
      </w:tr>
    </w:tbl>
    <w:p>
      <w:pPr>
        <w:spacing w:before="280" w:after="80"/>
        <w:jc w:val="left"/>
      </w:pPr>
      <w:r>
        <w:rPr>
          <w:rFonts w:ascii="Calibri" w:hAnsi="Calibri"/>
          <w:b/>
          <w:color w:val="0D2B55"/>
          <w:sz w:val="28"/>
        </w:rPr>
        <w:t>9.  Next Steps</w:t>
      </w:r>
    </w:p>
    <w:p>
      <w:pPr>
        <w:pStyle w:val="ListBullet"/>
        <w:spacing w:before="20" w:after="20"/>
      </w:pPr>
      <w:r>
        <w:rPr>
          <w:rFonts w:ascii="Calibri" w:hAnsi="Calibri"/>
          <w:color w:val="1A1A2E"/>
          <w:sz w:val="21"/>
        </w:rPr>
        <w:t>Complete data cleaning and structuring.</w:t>
      </w:r>
    </w:p>
    <w:p>
      <w:pPr>
        <w:pStyle w:val="ListBullet"/>
        <w:spacing w:before="20" w:after="20"/>
      </w:pPr>
      <w:r>
        <w:rPr>
          <w:rFonts w:ascii="Calibri" w:hAnsi="Calibri"/>
          <w:color w:val="1A1A2E"/>
          <w:sz w:val="21"/>
        </w:rPr>
        <w:t>Perform exploratory data analysis (EDA).</w:t>
      </w:r>
    </w:p>
    <w:p>
      <w:pPr>
        <w:pStyle w:val="ListBullet"/>
        <w:spacing w:before="20" w:after="20"/>
      </w:pPr>
      <w:r>
        <w:rPr>
          <w:rFonts w:ascii="Calibri" w:hAnsi="Calibri"/>
          <w:color w:val="1A1A2E"/>
          <w:sz w:val="21"/>
        </w:rPr>
        <w:t>Identify patterns and key inefficiencies.</w:t>
      </w:r>
    </w:p>
    <w:p>
      <w:pPr>
        <w:pStyle w:val="ListBullet"/>
        <w:spacing w:before="20" w:after="20"/>
      </w:pPr>
      <w:r>
        <w:rPr>
          <w:rFonts w:ascii="Calibri" w:hAnsi="Calibri"/>
          <w:color w:val="1A1A2E"/>
          <w:sz w:val="21"/>
        </w:rPr>
        <w:t>Generate actionable insights and recommendations.</w:t>
      </w:r>
    </w:p>
    <w:p>
      <w:pPr>
        <w:pStyle w:val="ListBullet"/>
        <w:spacing w:before="20" w:after="20"/>
      </w:pPr>
      <w:r>
        <w:rPr>
          <w:rFonts w:ascii="Calibri" w:hAnsi="Calibri"/>
          <w:color w:val="1A1A2E"/>
          <w:sz w:val="21"/>
        </w:rPr>
        <w:t>Prepare final internship report.</w:t>
      </w:r>
    </w:p>
    <w:p>
      <w:r>
        <w:br w:type="page"/>
      </w:r>
    </w:p>
    <w:p>
      <w:pPr>
        <w:spacing w:before="280" w:after="80"/>
        <w:jc w:val="left"/>
      </w:pPr>
      <w:r>
        <w:rPr>
          <w:rFonts w:ascii="Calibri" w:hAnsi="Calibri"/>
          <w:b/>
          <w:color w:val="0D2B55"/>
          <w:sz w:val="30"/>
        </w:rPr>
        <w:t>Appendix</w:t>
      </w:r>
    </w:p>
    <w:p>
      <w:pPr>
        <w:spacing w:before="80" w:after="40"/>
        <w:jc w:val="left"/>
      </w:pPr>
      <w:r>
        <w:rPr>
          <w:rFonts w:ascii="Calibri" w:hAnsi="Calibri"/>
          <w:b/>
          <w:color w:val="1A5F9E"/>
          <w:sz w:val="24"/>
        </w:rPr>
        <w:t>Appendix A: Milestone 1 Submission</w:t>
      </w:r>
    </w:p>
    <w:p>
      <w:pPr>
        <w:spacing w:before="40" w:after="80"/>
      </w:pPr>
      <w:r>
        <w:rPr>
          <w:rFonts w:ascii="Calibri" w:hAnsi="Calibri"/>
          <w:color w:val="555555"/>
          <w:sz w:val="21"/>
        </w:rPr>
        <w:t>(Attach previously submitted Milestone 1 document here for reference, as suggested for continuity.)</w:t>
      </w:r>
    </w:p>
    <w:sectPr w:rsidR="00FC693F" w:rsidRPr="0006063C" w:rsidSect="00034616">
      <w:footerReference w:type="default" r:id="rId9"/>
      <w:pgSz w:w="12240" w:h="15840"/>
      <w:pgMar w:top="1134"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 xml:space="preserve">Medi Assist Healthcare Ltd.  |  Opus - Raksha Prime  |  Milestone 2  |  Page </w:t>
    </w:r>
    <w:r>
      <w:rPr>
        <w:rFonts w:ascii="Calibri" w:hAnsi="Calibri"/>
        <w:color w:val="888888"/>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