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7365D"/>
          <w:sz w:val="28"/>
        </w:rPr>
        <w:t>UNIVERSIDAD NACIONAL MAYOR DE SAN MARCOS</w:t>
      </w:r>
    </w:p>
    <w:p>
      <w:pPr>
        <w:spacing w:after="320"/>
        <w:jc w:val="center"/>
      </w:pPr>
      <w:r>
        <w:rPr>
          <w:b/>
        </w:rPr>
        <w:t>Faculty of Systems and Informatics Engineering - Graduate Unit</w:t>
        <w:br/>
      </w:r>
      <w:r>
        <w:t>Doctoral Program in Deep Technologies with a Focus on Artificial Intelligence and Emerging Technologies</w:t>
      </w:r>
    </w:p>
    <w:p>
      <w:pPr>
        <w:pStyle w:val="Title"/>
        <w:jc w:val="center"/>
      </w:pPr>
      <w:r>
        <w:rPr>
          <w:rFonts w:ascii="Aptos" w:hAnsi="Aptos" w:eastAsia="Aptos"/>
        </w:rPr>
        <w:t>Research Protocol Mini-Audit v1.2</w:t>
      </w:r>
    </w:p>
    <w:p>
      <w:pPr>
        <w:spacing w:after="280"/>
        <w:jc w:val="center"/>
      </w:pPr>
      <w:r>
        <w:rPr>
          <w:rFonts w:ascii="Aptos" w:hAnsi="Aptos" w:eastAsia="Aptos"/>
          <w:b/>
          <w:sz w:val="22"/>
        </w:rPr>
        <w:t>Audit of Proposal v0.0 and documented transition to Protocol v0.3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cantSplit/>
        </w:trPr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sz w:val="18"/>
              </w:rPr>
              <w:t>Course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Research Methods and Scientific Integrity in AI and Advanced Technologies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sz w:val="18"/>
              </w:rPr>
              <w:t>Instructor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Dr. Loveleen Gaur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sz w:val="18"/>
              </w:rPr>
              <w:t>Student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Luis Quispe Inquil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sz w:val="18"/>
              </w:rPr>
              <w:t>Deliverable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8"/>
              </w:rPr>
              <w:t>Session 3 protocol-audit laboratory - verified data update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sz w:val="18"/>
              </w:rPr>
              <w:t>Revision date</w:t>
            </w:r>
          </w:p>
        </w:tc>
        <w:tc>
          <w:tcPr>
            <w:tcW w:type="dxa" w:w="69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17 June 2026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824"/>
      </w:tblGrid>
      <w:tr>
        <w:trPr>
          <w:cantSplit/>
        </w:trPr>
        <w:tc>
          <w:tcPr>
            <w:tcW w:type="dxa" w:w="1382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>Provenance note: This audit evaluates the initial six-page project proposal, retrospectively labeled Proposal v0.0. It does not evaluate Protocol v0.3 as though the later sections were absent. Protocol v0.3 is the current revised protocol and includes a verified operational data inventory, traceability architecture, anonymous-use authorization, and a one-crusher direct-feed design. The response map documents the transition.</w:t>
            </w:r>
          </w:p>
        </w:tc>
      </w:tr>
    </w:tbl>
    <w:p>
      <w:pPr>
        <w:spacing w:after="0"/>
      </w:pPr>
    </w:p>
    <w:p>
      <w:pPr>
        <w:pStyle w:val="Heading1"/>
      </w:pPr>
      <w:r>
        <w:t>1. Version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1296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Version</w:t>
            </w:r>
          </w:p>
        </w:tc>
        <w:tc>
          <w:tcPr>
            <w:tcW w:type="dxa" w:w="2304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Document</w:t>
            </w:r>
          </w:p>
        </w:tc>
        <w:tc>
          <w:tcPr>
            <w:tcW w:type="dxa" w:w="3600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Role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Date/status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Proposal v0.0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Initial six-page project proposal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Source audited in this document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Archived 13 June 2026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EAF2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Audit v1.0</w:t>
            </w:r>
          </w:p>
        </w:tc>
        <w:tc>
          <w:tcPr>
            <w:tcW w:type="dxa" w:w="2304"/>
            <w:vAlign w:val="center"/>
            <w:shd w:fill="EAF2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Original mini-audit</w:t>
            </w:r>
          </w:p>
        </w:tc>
        <w:tc>
          <w:tcPr>
            <w:tcW w:type="dxa" w:w="3600"/>
            <w:vAlign w:val="center"/>
            <w:shd w:fill="EAF2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Identified red/amber findings in v0.0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13 June 2026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Protocol v0.1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First structured revision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Added protocol sections and addressed most findings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13 June 2026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EAF2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Protocol v0.2</w:t>
            </w:r>
          </w:p>
        </w:tc>
        <w:tc>
          <w:tcPr>
            <w:tcW w:type="dxa" w:w="2304"/>
            <w:vAlign w:val="center"/>
            <w:shd w:fill="EAF2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Instructor-feedback revision</w:t>
            </w:r>
          </w:p>
        </w:tc>
        <w:tc>
          <w:tcPr>
            <w:tcW w:type="dxa" w:w="3600"/>
            <w:vAlign w:val="center"/>
            <w:shd w:fill="EAF2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Added provenance, thresholds, target-specific models, and policy comparison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17 June 2026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Protocol v0.3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Verified-data revision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Adds 2,625 blasts, 412,543 holes, truck-cycle linkage, primary-crusher signals, one-crusher cohort, and anonymous-use authorization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17 June 2026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EAF2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Audit v1.2</w:t>
            </w:r>
          </w:p>
        </w:tc>
        <w:tc>
          <w:tcPr>
            <w:tcW w:type="dxa" w:w="2304"/>
            <w:vAlign w:val="center"/>
            <w:shd w:fill="EAF2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This document</w:t>
            </w:r>
          </w:p>
        </w:tc>
        <w:tc>
          <w:tcPr>
            <w:tcW w:type="dxa" w:w="3600"/>
            <w:vAlign w:val="center"/>
            <w:shd w:fill="EAF2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Updates response mapping and remaining risks using verified data</w:t>
            </w:r>
          </w:p>
        </w:tc>
        <w:tc>
          <w:tcPr>
            <w:tcW w:type="dxa" w:w="1944"/>
            <w:vAlign w:val="center"/>
            <w:shd w:fill="EAF2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17 June 2026</w:t>
            </w:r>
          </w:p>
        </w:tc>
      </w:tr>
    </w:tbl>
    <w:p>
      <w:pPr>
        <w:pStyle w:val="Heading1"/>
      </w:pPr>
      <w:r>
        <w:t>2. Audit object and global verdict</w:t>
      </w:r>
    </w:p>
    <w:p>
      <w:r>
        <w:t>Audited document: Proposal v0.0, six pages. General criterion: alignment among problem, question, method, data, feasibility, ethics, and reproducibility.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824"/>
      </w:tblGrid>
      <w:tr>
        <w:trPr>
          <w:cantSplit/>
        </w:trPr>
        <w:tc>
          <w:tcPr>
            <w:tcW w:type="dxa" w:w="13824"/>
            <w:shd w:fill="FFF2C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</w:rPr>
              <w:t>Global verdict on Proposal v0.0: AMBER - Scientifically relevant and technically promising, but incomplete as an auditable research protocol. This verdict is historical: Protocol v0.3 now contains the sections that were absent from v0.0.</w:t>
            </w:r>
          </w:p>
        </w:tc>
      </w:tr>
    </w:tbl>
    <w:p>
      <w:pPr>
        <w:spacing w:after="0"/>
      </w:pPr>
    </w:p>
    <w:p>
      <w:pPr>
        <w:pStyle w:val="Heading1"/>
      </w:pPr>
      <w:r>
        <w:t>3. Evidence-based audit of Proposal v0.0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Criterion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Label</w:t>
            </w:r>
          </w:p>
        </w:tc>
        <w:tc>
          <w:tcPr>
            <w:tcW w:type="dxa" w:w="45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Traceable evidence</w:t>
            </w:r>
          </w:p>
        </w:tc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Interpretation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Actionable revision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Problem and relevance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2F0D9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GREEN</w:t>
            </w:r>
          </w:p>
        </w:tc>
        <w:tc>
          <w:tcPr>
            <w:tcW w:type="dxa" w:w="45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“This gap limits proactive decision-making at the mine-plant interface and maintains a predominantly reactive logic.” (Proposal v0.0, p. 1)</w:t>
            </w:r>
          </w:p>
        </w:tc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States an operational consequence and passes the “so what?” test.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Add an empirical baseline for power variability, specific energy, or high-load events when data are received.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General question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2C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AMBER</w:t>
            </w:r>
          </w:p>
        </w:tc>
        <w:tc>
          <w:tcPr>
            <w:tcW w:type="dxa" w:w="45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“To what extent does a hybrid model based on CatBoost, online learning with River, SHAP explainability, and quantile prediction allow...” (Proposal v0.0, p. 2)</w:t>
            </w:r>
          </w:p>
        </w:tc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Combines architecture, precision, interpretation, and adaptation in one library-led question.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Shorten the question and move implementation tools to the abstract/method.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Method-contribution alignment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2F0D9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GREEN</w:t>
            </w:r>
          </w:p>
        </w:tc>
        <w:tc>
          <w:tcPr>
            <w:tcW w:type="dxa" w:w="45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“The proposal incorporates... CatBoost... quantiles... River... and SHAP.” (Proposal v0.0, p. 2)</w:t>
            </w:r>
          </w:p>
        </w:tc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The architecture is consistent with an artifact-building contribution.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Explicitly declare DSR and build-evaluate-refine cycles.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SMART objectives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2C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AMBER</w:t>
            </w:r>
          </w:p>
        </w:tc>
        <w:tc>
          <w:tcPr>
            <w:tcW w:type="dxa" w:w="45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“Design and train... Implement... Incorporate... Apply SHAP... Evaluate...” (Proposal v0.0, p. 3)</w:t>
            </w:r>
          </w:p>
        </w:tc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Specific and relevant, but no deadlines or acceptance thresholds.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Assign months, metrics, and success criteria.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Data availability and traceability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FF2CC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AMBER</w:t>
            </w:r>
          </w:p>
        </w:tc>
        <w:tc>
          <w:tcPr>
            <w:tcW w:type="dxa" w:w="45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“Build an integrated database linking blast events with energy and operational indicators...” (Proposal v0.0, p. 3)</w:t>
            </w:r>
          </w:p>
        </w:tc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Recognizes linkage, but does not quantify volume, span, frequency, identifiers, or permissions.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Add actual verified inventory, requested fields, decision gates, and fallback tiers.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Statistical evaluation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CE4D6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RED</w:t>
            </w:r>
          </w:p>
        </w:tc>
        <w:tc>
          <w:tcPr>
            <w:tcW w:type="dxa" w:w="45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 temporal split, baselines, seeds, intervals, tail metrics, or paired comparisons are specified in Proposal v0.0, pp. 1-6.</w:t>
            </w:r>
          </w:p>
        </w:tc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Performance is not auditable and temporal/group leakage is possible.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Define locked temporal testing, baselines, uncertainty, paired tests, and target-specific evaluation.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Timeline and budget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CE4D6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RED</w:t>
            </w:r>
          </w:p>
        </w:tc>
        <w:tc>
          <w:tcPr>
            <w:tcW w:type="dxa" w:w="45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 timeline or budget section appears in Proposal v0.0, pp. 1-6.</w:t>
            </w:r>
          </w:p>
        </w:tc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Doctoral feasibility cannot be assessed.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Add phases, milestones, 25%-30% contingency, and an indicative budget.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Ethics and integrity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CE4D6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RED</w:t>
            </w:r>
          </w:p>
        </w:tc>
        <w:tc>
          <w:tcPr>
            <w:tcW w:type="dxa" w:w="45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 ethics or data-governance section appears in Proposal v0.0, pp. 1-6.</w:t>
            </w:r>
          </w:p>
        </w:tc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Industrial data may be confidential and operationally sensitive.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Add permissions, minimization, access, retention, publication, and CONCYTEC alignment.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Reproducibility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CE4D6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RED</w:t>
            </w:r>
          </w:p>
        </w:tc>
        <w:tc>
          <w:tcPr>
            <w:tcW w:type="dxa" w:w="45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 Git, DVC, MLflow, pinned environment, seeds, or stranger-test documentation appears in Proposal v0.0, pp. 1-6.</w:t>
            </w:r>
          </w:p>
        </w:tc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 third party could not reconstruct the result.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Add a complete reproducibility plan.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Doctoral contribution</w:t>
            </w:r>
          </w:p>
        </w:tc>
        <w:tc>
          <w:tcPr>
            <w:tcW w:type="dxa" w:w="10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2F0D9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GREEN</w:t>
            </w:r>
          </w:p>
        </w:tc>
        <w:tc>
          <w:tcPr>
            <w:tcW w:type="dxa" w:w="45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“Predictive, interpretable and adaptive... quantify uncertainty and adjust to operational changes.” (Proposal v0.0, p. 2)</w:t>
            </w:r>
          </w:p>
        </w:tc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The combination has applied novelty potential.</w:t>
            </w:r>
          </w:p>
        </w:tc>
        <w:tc>
          <w:tcPr>
            <w:tcW w:type="dxa" w:w="381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State transferable design principles and conditional limits beyond one mine.</w:t>
            </w:r>
          </w:p>
        </w:tc>
      </w:tr>
    </w:tbl>
    <w:p>
      <w:pPr>
        <w:pStyle w:val="Heading1"/>
      </w:pPr>
      <w:r>
        <w:t>4. Critical-sentence revision</w:t>
      </w:r>
    </w:p>
    <w:p>
      <w:r>
        <w:t>Original (Proposal v0.0, p. 2): “In this context, the research problem focuses on the need to build a predictive, interpretable, and adaptive model...”</w:t>
      </w:r>
    </w:p>
    <w:p>
      <w:r>
        <w:t>Revised: “Weak mine-to-plant traceability and the absence of a probabilistic adaptation policy prevent timely prediction of primary-crusher energy demand and management of high-load scenarios.”</w:t>
      </w:r>
    </w:p>
    <w:p>
      <w:r>
        <w:t>Rationale: The revision identifies the observable deficiency, the operational consequence, and the affected unit. It therefore guides the variables, data inventory, and evaluation design more directly.</w:t>
      </w:r>
    </w:p>
    <w:p>
      <w:pPr>
        <w:pStyle w:val="Heading1"/>
      </w:pPr>
      <w:r>
        <w:t>5. Response-to-audit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Original finding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Revision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Location</w:t>
            </w:r>
          </w:p>
        </w:tc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General question - AMBER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Shortened contribution-led question; tools moved to the abstract and architecture.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ptos" w:hAnsi="Aptos" w:eastAsia="Aptos"/>
              </w:rPr>
              <w:t>Protocol v0.3 Sections 1, 2, and 5.1</w:t>
            </w:r>
          </w:p>
        </w:tc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RESOLVED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SMART objectives - AMBER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Added time-bound acceptance thresholds.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>
              <w:rPr>
                <w:rFonts w:ascii="Aptos" w:hAnsi="Aptos" w:eastAsia="Aptos"/>
              </w:rPr>
              <w:t>Protocol v0.3 Section 5.5</w:t>
            </w:r>
          </w:p>
        </w:tc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RESOLVED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Data and traceability - AMBER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>
              <w:t>Added verified 2024-17 June 2026 inventory (2,625 blasts; 412,543 holes), truck-cycle source/payload/dump/crusher linkage, one-second display-resolution power signals for two primary crushers, one-crusher direct-feed cohort, and anonymous-use authorization.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5"/>
              </w:rPr>
              <w:t>Protocol v0.3 Sections 6.2-6.5 and 7</w:t>
            </w:r>
          </w:p>
        </w:tc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4"/>
              </w:rPr>
              <w:t>RESOLVED AT SOURCE-INVENTORY LEVEL; FINAL LINKAGE RATE PENDING PROFILING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Statistical evaluation - RED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Added locked temporal testing, target-specific metrics, block bootstrap, policy comparison, and ablations.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>
              <w:rPr>
                <w:rFonts w:ascii="Aptos" w:hAnsi="Aptos" w:eastAsia="Aptos"/>
              </w:rPr>
              <w:t>Protocol v0.3 Sections 6.6-6.10</w:t>
            </w:r>
          </w:p>
        </w:tc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RESOLVED IN DESIGN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Timeline and budget - RED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Added 36-month schedule, products, contingency, and indicative budget.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ptos" w:hAnsi="Aptos" w:eastAsia="Aptos"/>
              </w:rPr>
              <w:t>Protocol v0.3 Section 9</w:t>
            </w:r>
          </w:p>
        </w:tc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RESOLVED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Ethics and integrity - RED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Added industrial-data governance, confidentiality, specialist-review safeguards, and CONCYTEC alignment.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>
              <w:rPr>
                <w:rFonts w:ascii="Aptos" w:hAnsi="Aptos" w:eastAsia="Aptos"/>
              </w:rPr>
              <w:t>Protocol v0.3 Section 7</w:t>
            </w:r>
          </w:p>
        </w:tc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RESOLVED IN PROTOCOL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Reproducibility - RED</w:t>
            </w:r>
          </w:p>
        </w:tc>
        <w:tc>
          <w:tcPr>
            <w:tcW w:type="dxa" w:w="57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Added Git/DVC/MLflow/Docker, seeds, hardware logging, run binding, and independent-rerun threshold.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ptos" w:hAnsi="Aptos" w:eastAsia="Aptos"/>
              </w:rPr>
              <w:t>Protocol v0.3 Sections 5.5 and 6.11</w:t>
            </w:r>
          </w:p>
        </w:tc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RESOLVED IN PROTOCOL</w:t>
            </w:r>
          </w:p>
        </w:tc>
      </w:tr>
    </w:tbl>
    <w:p>
      <w:pPr>
        <w:pStyle w:val="Heading1"/>
      </w:pPr>
      <w:r>
        <w:t>6. Prioritized remaining risks</w:t>
      </w:r>
    </w:p>
    <w:p>
      <w:pPr>
        <w:pStyle w:val="ListNumber"/>
        <w:spacing w:after="40"/>
      </w:pPr>
      <w:r>
        <w:t>Select the primary crusher using completeness and continuity criteria, then quantify the high-confidence direct-feed linkage rate and final number of processing windows.</w:t>
      </w:r>
    </w:p>
    <w:p>
      <w:pPr>
        <w:pStyle w:val="ListNumber"/>
        <w:spacing w:after="40"/>
      </w:pPr>
      <w:r>
        <w:t>Verify the historian extraction semantics (recorded, compressed, exception-based, or interpolated), timestamp continuity, signal quality, and the official measured-payload field.</w:t>
      </w:r>
    </w:p>
    <w:p>
      <w:pPr>
        <w:pStyle w:val="ListNumber"/>
        <w:spacing w:after="40"/>
      </w:pPr>
      <w:r>
        <w:t>Pre-register the processing-window definition, overlap and lag rules, direct-feed eligibility, and the operational threshold and minimum duration for a peak-power event.</w:t>
      </w:r>
    </w:p>
    <w:p>
      <w:pPr>
        <w:pStyle w:val="ListNumber"/>
        <w:spacing w:after="40"/>
      </w:pPr>
      <w:r>
        <w:t>Run the static-versus-scheduled-versus-online policy comparison before retaining River or ADWIN in the final artifact.</w:t>
      </w:r>
    </w:p>
    <w:p>
      <w:pPr>
        <w:pStyle w:val="ListNumber"/>
        <w:spacing w:after="40"/>
      </w:pPr>
      <w:r>
        <w:t>Preserve search exports and screening logs for the final systematic review.</w:t>
      </w:r>
    </w:p>
    <w:p>
      <w:pPr>
        <w:pStyle w:val="Heading1"/>
      </w:pPr>
      <w:r>
        <w:t>7. Self-assessment against the laboratory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  <w:cantSplit/>
        </w:trPr>
        <w:tc>
          <w:tcPr>
            <w:tcW w:type="dxa" w:w="9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Rubric element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Score</w:t>
            </w:r>
          </w:p>
        </w:tc>
      </w:tr>
      <w:tr>
        <w:trPr>
          <w:cantSplit/>
        </w:trPr>
        <w:tc>
          <w:tcPr>
            <w:tcW w:type="dxa" w:w="9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Document and criterion are clear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2/2</w:t>
            </w:r>
          </w:p>
        </w:tc>
      </w:tr>
      <w:tr>
        <w:trPr>
          <w:cantSplit/>
        </w:trPr>
        <w:tc>
          <w:tcPr>
            <w:tcW w:type="dxa" w:w="9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Verdict is plausible and version-specific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2/2</w:t>
            </w:r>
          </w:p>
        </w:tc>
      </w:tr>
      <w:tr>
        <w:trPr>
          <w:cantSplit/>
        </w:trPr>
        <w:tc>
          <w:tcPr>
            <w:tcW w:type="dxa" w:w="9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Evidence is exact and page-traceable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3/3</w:t>
            </w:r>
          </w:p>
        </w:tc>
      </w:tr>
      <w:tr>
        <w:trPr>
          <w:cantSplit/>
        </w:trPr>
        <w:tc>
          <w:tcPr>
            <w:tcW w:type="dxa" w:w="9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Explanation connects evidence and verdict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2/2</w:t>
            </w:r>
          </w:p>
        </w:tc>
      </w:tr>
      <w:tr>
        <w:trPr>
          <w:cantSplit/>
        </w:trPr>
        <w:tc>
          <w:tcPr>
            <w:tcW w:type="dxa" w:w="9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Improvement is actionable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1/1</w:t>
            </w:r>
          </w:p>
        </w:tc>
      </w:tr>
      <w:tr>
        <w:trPr>
          <w:cantSplit/>
        </w:trPr>
        <w:tc>
          <w:tcPr>
            <w:tcW w:type="dxa" w:w="9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TOTAL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FAFAF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10/10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 w:eastAsia="Aptos"/>
        <w:sz w:val="16"/>
      </w:rPr>
      <w:t>Universidad Nacional Mayor de San Marcos | Protocol Audit v1.2 - Revised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