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color w:val="17365D"/>
          <w:sz w:val="28"/>
        </w:rPr>
        <w:t>UNIVERSIDAD NACIONAL MAYOR DE SAN MARCOS</w:t>
      </w:r>
    </w:p>
    <w:p>
      <w:pPr>
        <w:spacing w:after="320"/>
        <w:jc w:val="center"/>
      </w:pPr>
      <w:r>
        <w:rPr>
          <w:b/>
        </w:rPr>
        <w:t>Faculty of Systems and Informatics Engineering - Graduate Unit</w:t>
        <w:br/>
      </w:r>
      <w:r>
        <w:t>Doctoral Program in Deep Technologies with a Focus on Artificial Intelligence and Emerging Technologies</w:t>
      </w:r>
    </w:p>
    <w:p>
      <w:pPr>
        <w:pStyle w:val="Title"/>
        <w:jc w:val="center"/>
      </w:pPr>
      <w:r>
        <w:t>Mini Systematic Literature Review v1.1</w:t>
      </w:r>
    </w:p>
    <w:p>
      <w:pPr>
        <w:spacing w:after="280"/>
        <w:jc w:val="center"/>
      </w:pPr>
      <w:r>
        <w:rPr>
          <w:b/>
          <w:color w:val="2F5597"/>
          <w:sz w:val="22"/>
        </w:rPr>
        <w:t>Six search-retrieved domain studies + four a priori methodological foundations + PRISMA 2020 flow + gap analysis</w:t>
      </w:r>
    </w:p>
    <w:tbl>
      <w:tblPr>
        <w:tblW w:type="auto" w:w="0"/>
        <w:jc w:val="center"/>
        <w:tblLayout w:type="autofit"/>
        <w:tblLook w:firstColumn="1" w:firstRow="1" w:lastColumn="0" w:lastRow="0" w:noHBand="0" w:noVBand="1" w:val="04A0"/>
      </w:tblPr>
      <w:tblGrid>
        <w:gridCol w:w="5112"/>
        <w:gridCol w:w="5112"/>
      </w:tblGrid>
      <w:tr>
        <w:trPr>
          <w:cantSplit/>
        </w:trPr>
        <w:tc>
          <w:tcPr>
            <w:tcW w:type="dxa" w:w="5112"/>
            <w:vAlign w:val="center"/>
            <w:tcMar>
              <w:top w:w="70" w:type="dxa"/>
              <w:start w:w="70" w:type="dxa"/>
              <w:bottom w:w="70" w:type="dxa"/>
              <w:end w:w="70" w:type="dxa"/>
            </w:tcMar>
            <w:shd w:fill="D9EAF7"/>
          </w:tcPr>
          <w:p>
            <w:pPr>
              <w:spacing w:after="0" w:before="0"/>
              <w:jc w:val="left"/>
            </w:pPr>
            <w:r/>
            <w:r>
              <w:rPr>
                <w:rFonts w:ascii="Aptos" w:hAnsi="Aptos"/>
                <w:b/>
                <w:sz w:val="18"/>
              </w:rPr>
              <w:t>Course</w:t>
            </w:r>
          </w:p>
        </w:tc>
        <w:tc>
          <w:tcPr>
            <w:tcW w:type="dxa" w:w="5112"/>
            <w:vAlign w:val="center"/>
            <w:tcMar>
              <w:top w:w="70" w:type="dxa"/>
              <w:start w:w="70" w:type="dxa"/>
              <w:bottom w:w="70" w:type="dxa"/>
              <w:end w:w="70" w:type="dxa"/>
            </w:tcMar>
          </w:tcPr>
          <w:p>
            <w:pPr>
              <w:spacing w:after="0" w:before="0"/>
              <w:jc w:val="left"/>
            </w:pPr>
            <w:r/>
            <w:r>
              <w:rPr>
                <w:rFonts w:ascii="Aptos" w:hAnsi="Aptos"/>
                <w:b w:val="0"/>
                <w:sz w:val="18"/>
              </w:rPr>
              <w:t>Research Methods and Scientific Integrity in AI and Advanced Technologies</w:t>
            </w:r>
          </w:p>
        </w:tc>
      </w:tr>
      <w:tr>
        <w:trPr>
          <w:cantSplit/>
        </w:trPr>
        <w:tc>
          <w:tcPr>
            <w:tcW w:type="dxa" w:w="5112"/>
            <w:vAlign w:val="center"/>
            <w:tcMar>
              <w:top w:w="70" w:type="dxa"/>
              <w:start w:w="70" w:type="dxa"/>
              <w:bottom w:w="70" w:type="dxa"/>
              <w:end w:w="70" w:type="dxa"/>
            </w:tcMar>
            <w:shd w:fill="D9EAF7"/>
          </w:tcPr>
          <w:p>
            <w:pPr>
              <w:spacing w:after="0" w:before="0"/>
              <w:jc w:val="left"/>
            </w:pPr>
            <w:r/>
            <w:r>
              <w:rPr>
                <w:rFonts w:ascii="Aptos" w:hAnsi="Aptos"/>
                <w:b/>
                <w:sz w:val="18"/>
              </w:rPr>
              <w:t>Instructor</w:t>
            </w:r>
          </w:p>
        </w:tc>
        <w:tc>
          <w:tcPr>
            <w:tcW w:type="dxa" w:w="5112"/>
            <w:vAlign w:val="center"/>
            <w:tcMar>
              <w:top w:w="70" w:type="dxa"/>
              <w:start w:w="70" w:type="dxa"/>
              <w:bottom w:w="70" w:type="dxa"/>
              <w:end w:w="70" w:type="dxa"/>
            </w:tcMar>
          </w:tcPr>
          <w:p>
            <w:pPr>
              <w:spacing w:after="0" w:before="0"/>
              <w:jc w:val="left"/>
            </w:pPr>
            <w:r/>
            <w:r>
              <w:rPr>
                <w:rFonts w:ascii="Aptos" w:hAnsi="Aptos"/>
                <w:b w:val="0"/>
                <w:sz w:val="18"/>
              </w:rPr>
              <w:t>Dr. Loveleen Gaur</w:t>
            </w:r>
          </w:p>
        </w:tc>
      </w:tr>
      <w:tr>
        <w:trPr>
          <w:cantSplit/>
        </w:trPr>
        <w:tc>
          <w:tcPr>
            <w:tcW w:type="dxa" w:w="5112"/>
            <w:vAlign w:val="center"/>
            <w:tcMar>
              <w:top w:w="70" w:type="dxa"/>
              <w:start w:w="70" w:type="dxa"/>
              <w:bottom w:w="70" w:type="dxa"/>
              <w:end w:w="70" w:type="dxa"/>
            </w:tcMar>
            <w:shd w:fill="D9EAF7"/>
          </w:tcPr>
          <w:p>
            <w:pPr>
              <w:spacing w:after="0" w:before="0"/>
              <w:jc w:val="left"/>
            </w:pPr>
            <w:r/>
            <w:r>
              <w:rPr>
                <w:rFonts w:ascii="Aptos" w:hAnsi="Aptos"/>
                <w:b/>
                <w:sz w:val="18"/>
              </w:rPr>
              <w:t>Student</w:t>
            </w:r>
          </w:p>
        </w:tc>
        <w:tc>
          <w:tcPr>
            <w:tcW w:type="dxa" w:w="5112"/>
            <w:vAlign w:val="center"/>
            <w:tcMar>
              <w:top w:w="70" w:type="dxa"/>
              <w:start w:w="70" w:type="dxa"/>
              <w:bottom w:w="70" w:type="dxa"/>
              <w:end w:w="70" w:type="dxa"/>
            </w:tcMar>
          </w:tcPr>
          <w:p>
            <w:pPr>
              <w:spacing w:after="0" w:before="0"/>
              <w:jc w:val="left"/>
            </w:pPr>
            <w:r/>
            <w:r>
              <w:rPr>
                <w:rFonts w:ascii="Aptos" w:hAnsi="Aptos"/>
                <w:b w:val="0"/>
                <w:sz w:val="18"/>
              </w:rPr>
              <w:t>Luis Quispe Inquil</w:t>
            </w:r>
          </w:p>
        </w:tc>
      </w:tr>
      <w:tr>
        <w:trPr>
          <w:cantSplit/>
        </w:trPr>
        <w:tc>
          <w:tcPr>
            <w:tcW w:type="dxa" w:w="5112"/>
            <w:vAlign w:val="center"/>
            <w:tcMar>
              <w:top w:w="70" w:type="dxa"/>
              <w:start w:w="70" w:type="dxa"/>
              <w:bottom w:w="70" w:type="dxa"/>
              <w:end w:w="70" w:type="dxa"/>
            </w:tcMar>
            <w:shd w:fill="D9EAF7"/>
          </w:tcPr>
          <w:p>
            <w:pPr>
              <w:spacing w:after="0" w:before="0"/>
              <w:jc w:val="left"/>
            </w:pPr>
            <w:r/>
            <w:r>
              <w:rPr>
                <w:rFonts w:ascii="Aptos" w:hAnsi="Aptos"/>
                <w:b/>
                <w:sz w:val="18"/>
              </w:rPr>
              <w:t>Deliverable</w:t>
            </w:r>
          </w:p>
        </w:tc>
        <w:tc>
          <w:tcPr>
            <w:tcW w:type="dxa" w:w="5112"/>
            <w:vAlign w:val="center"/>
            <w:tcMar>
              <w:top w:w="70" w:type="dxa"/>
              <w:start w:w="70" w:type="dxa"/>
              <w:bottom w:w="70" w:type="dxa"/>
              <w:end w:w="70" w:type="dxa"/>
            </w:tcMar>
          </w:tcPr>
          <w:p>
            <w:pPr>
              <w:spacing w:after="0" w:before="0"/>
              <w:jc w:val="left"/>
            </w:pPr>
            <w:r/>
            <w:r>
              <w:rPr>
                <w:rFonts w:ascii="Aptos" w:hAnsi="Aptos"/>
                <w:b w:val="0"/>
                <w:sz w:val="18"/>
              </w:rPr>
              <w:t>Session 4 revised deliverable</w:t>
            </w:r>
          </w:p>
        </w:tc>
      </w:tr>
      <w:tr>
        <w:trPr>
          <w:cantSplit/>
        </w:trPr>
        <w:tc>
          <w:tcPr>
            <w:tcW w:type="dxa" w:w="5112"/>
            <w:vAlign w:val="center"/>
            <w:tcMar>
              <w:top w:w="70" w:type="dxa"/>
              <w:start w:w="70" w:type="dxa"/>
              <w:bottom w:w="70" w:type="dxa"/>
              <w:end w:w="70" w:type="dxa"/>
            </w:tcMar>
            <w:shd w:fill="D9EAF7"/>
          </w:tcPr>
          <w:p>
            <w:pPr>
              <w:spacing w:after="0" w:before="0"/>
              <w:jc w:val="left"/>
            </w:pPr>
            <w:r/>
            <w:r>
              <w:rPr>
                <w:rFonts w:ascii="Aptos" w:hAnsi="Aptos"/>
                <w:b/>
                <w:sz w:val="18"/>
              </w:rPr>
              <w:t>Revision date</w:t>
            </w:r>
          </w:p>
        </w:tc>
        <w:tc>
          <w:tcPr>
            <w:tcW w:type="dxa" w:w="5112"/>
            <w:vAlign w:val="center"/>
            <w:tcMar>
              <w:top w:w="70" w:type="dxa"/>
              <w:start w:w="70" w:type="dxa"/>
              <w:bottom w:w="70" w:type="dxa"/>
              <w:end w:w="70" w:type="dxa"/>
            </w:tcMar>
          </w:tcPr>
          <w:p>
            <w:pPr>
              <w:spacing w:after="0" w:before="0"/>
              <w:jc w:val="left"/>
            </w:pPr>
            <w:r/>
            <w:r>
              <w:rPr>
                <w:rFonts w:ascii="Aptos" w:hAnsi="Aptos"/>
                <w:b w:val="0"/>
                <w:sz w:val="18"/>
              </w:rPr>
              <w:t>17 June 2026</w:t>
            </w:r>
          </w:p>
        </w:tc>
      </w:tr>
    </w:tbl>
    <w:p>
      <w:r>
        <w:br w:type="page"/>
      </w:r>
    </w:p>
    <w:tbl>
      <w:tblPr>
        <w:tblW w:type="auto" w:w="0"/>
        <w:jc w:val="center"/>
        <w:tblLook w:firstColumn="1" w:firstRow="1" w:lastColumn="0" w:lastRow="0" w:noHBand="0" w:noVBand="1" w:val="04A0"/>
      </w:tblPr>
      <w:tblGrid>
        <w:gridCol w:w="10224"/>
      </w:tblGrid>
      <w:tr>
        <w:trPr>
          <w:cantSplit/>
        </w:trPr>
        <w:tc>
          <w:tcPr>
            <w:tcW w:type="dxa" w:w="10224"/>
            <w:shd w:fill="D9EAF7"/>
            <w:tcMar>
              <w:top w:w="90" w:type="dxa"/>
              <w:start w:w="110" w:type="dxa"/>
              <w:bottom w:w="90" w:type="dxa"/>
              <w:end w:w="110" w:type="dxa"/>
            </w:tcMar>
          </w:tcPr>
          <w:p>
            <w:pPr>
              <w:spacing w:after="0"/>
            </w:pPr>
            <w:r/>
            <w:r>
              <w:rPr>
                <w:b/>
                <w:color w:val="17365D"/>
                <w:sz w:val="19"/>
              </w:rPr>
              <w:t xml:space="preserve">Revision note: </w:t>
            </w:r>
            <w:r>
              <w:rPr>
                <w:sz w:val="19"/>
              </w:rPr>
              <w:t>The PRISMA flow now reports a complete and internally reconciled pilot domain search. Six mining/domain studies are counted inside the PRISMA flow. Four methodological foundations (CatBoost, SHAP, River, and ADWIN) were selected a priori and are reported outside the PRISMA count. Publisher metadata and DOI details were checked before this revision.</w:t>
            </w:r>
          </w:p>
        </w:tc>
      </w:tr>
    </w:tbl>
    <w:p>
      <w:pPr>
        <w:spacing w:after="0"/>
      </w:pPr>
    </w:p>
    <w:p>
      <w:pPr>
        <w:pStyle w:val="Heading1"/>
      </w:pPr>
      <w:r>
        <w:t>Abstract</w:t>
      </w:r>
    </w:p>
    <w:p>
      <w:r>
        <w:t>This pilot mini-systematic review identifies evidence linking blast design, fragmentation, and comminution performance, and maps methodological foundations for probabilistic, adaptive, and interpretable prediction. A documented domain search yielded six included mining studies after screening. Four pre-specified methodological foundations were then added outside the PRISMA flow to support the candidate artifact components. Domain evidence consistently supports the physical and operational link between blasting and downstream performance, while gaps remain in uncertainty calibration, temporal adaptation, data leakage control, explanation stability, and Peruvian validation. The search and screening process are documented for repeatability; the full doctoral review will preserve database exports, deduplication records, and screening decisions.</w:t>
      </w:r>
    </w:p>
    <w:p>
      <w:pPr>
        <w:pStyle w:val="Heading1"/>
      </w:pPr>
      <w:r>
        <w:t>1. Review question</w:t>
      </w:r>
    </w:p>
    <w:p>
      <w:r>
        <w:t>What scientific evidence links blast-design and geotechnical variables to crushing or comminution energy demand, and what methodological foundations support probabilistic prediction, temporal adaptation, drift detection, and interpretable modeling?</w:t>
      </w:r>
    </w:p>
    <w:p>
      <w:pPr>
        <w:pStyle w:val="Heading1"/>
      </w:pPr>
      <w:r>
        <w:t>2. Adapted CIMO framework</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2016"/>
            <w:vAlign w:val="center"/>
            <w:tcMar>
              <w:top w:w="70" w:type="dxa"/>
              <w:start w:w="70" w:type="dxa"/>
              <w:bottom w:w="70" w:type="dxa"/>
              <w:end w:w="70" w:type="dxa"/>
            </w:tcMar>
            <w:shd w:fill="17365D"/>
          </w:tcPr>
          <w:p>
            <w:pPr>
              <w:spacing w:after="0" w:before="0"/>
              <w:jc w:val="center"/>
            </w:pPr>
            <w:r/>
            <w:r>
              <w:rPr>
                <w:rFonts w:ascii="Aptos" w:hAnsi="Aptos"/>
                <w:b/>
                <w:color w:val="FFFFFF"/>
                <w:sz w:val="17"/>
              </w:rPr>
              <w:t>Element</w:t>
            </w:r>
          </w:p>
        </w:tc>
        <w:tc>
          <w:tcPr>
            <w:tcW w:type="dxa" w:w="8784"/>
            <w:vAlign w:val="center"/>
            <w:tcMar>
              <w:top w:w="70" w:type="dxa"/>
              <w:start w:w="70" w:type="dxa"/>
              <w:bottom w:w="70" w:type="dxa"/>
              <w:end w:w="70" w:type="dxa"/>
            </w:tcMar>
            <w:shd w:fill="17365D"/>
          </w:tcPr>
          <w:p>
            <w:pPr>
              <w:spacing w:after="0" w:before="0"/>
              <w:jc w:val="center"/>
            </w:pPr>
            <w:r/>
            <w:r>
              <w:rPr>
                <w:rFonts w:ascii="Aptos" w:hAnsi="Aptos"/>
                <w:b/>
                <w:color w:val="FFFFFF"/>
                <w:sz w:val="17"/>
              </w:rPr>
              <w:t>Definition</w:t>
            </w:r>
          </w:p>
        </w:tc>
      </w:tr>
      <w:tr>
        <w:trPr>
          <w:cantSplit/>
        </w:trPr>
        <w:tc>
          <w:tcPr>
            <w:tcW w:type="dxa" w:w="2016"/>
            <w:vAlign w:val="center"/>
            <w:tcMar>
              <w:top w:w="70" w:type="dxa"/>
              <w:start w:w="70" w:type="dxa"/>
              <w:bottom w:w="70" w:type="dxa"/>
              <w:end w:w="70" w:type="dxa"/>
            </w:tcMar>
          </w:tcPr>
          <w:p>
            <w:pPr>
              <w:spacing w:after="0" w:before="0"/>
              <w:jc w:val="left"/>
            </w:pPr>
            <w:r/>
            <w:r>
              <w:rPr>
                <w:rFonts w:ascii="Aptos" w:hAnsi="Aptos"/>
                <w:b w:val="0"/>
                <w:sz w:val="17"/>
              </w:rPr>
              <w:t>Context</w:t>
            </w:r>
          </w:p>
        </w:tc>
        <w:tc>
          <w:tcPr>
            <w:tcW w:type="dxa" w:w="8784"/>
            <w:vAlign w:val="center"/>
            <w:tcMar>
              <w:top w:w="70" w:type="dxa"/>
              <w:start w:w="70" w:type="dxa"/>
              <w:bottom w:w="70" w:type="dxa"/>
              <w:end w:w="70" w:type="dxa"/>
            </w:tcMar>
          </w:tcPr>
          <w:p>
            <w:pPr>
              <w:spacing w:after="0" w:before="0"/>
              <w:jc w:val="left"/>
            </w:pPr>
            <w:r/>
            <w:r>
              <w:rPr>
                <w:rFonts w:ascii="Aptos" w:hAnsi="Aptos"/>
                <w:b w:val="0"/>
                <w:sz w:val="17"/>
              </w:rPr>
              <w:t>Open-pit mining, with emphasis on copper and the mine-to-plant interface.</w:t>
            </w:r>
          </w:p>
        </w:tc>
      </w:tr>
      <w:tr>
        <w:trPr>
          <w:cantSplit/>
        </w:trPr>
        <w:tc>
          <w:tcPr>
            <w:tcW w:type="dxa" w:w="2016"/>
            <w:vAlign w:val="center"/>
            <w:tcMar>
              <w:top w:w="70" w:type="dxa"/>
              <w:start w:w="70" w:type="dxa"/>
              <w:bottom w:w="70" w:type="dxa"/>
              <w:end w:w="70" w:type="dxa"/>
            </w:tcMar>
            <w:shd w:fill="FAFAFA"/>
          </w:tcPr>
          <w:p>
            <w:pPr>
              <w:spacing w:after="0" w:before="0"/>
              <w:jc w:val="left"/>
            </w:pPr>
            <w:r/>
            <w:r>
              <w:rPr>
                <w:rFonts w:ascii="Aptos" w:hAnsi="Aptos"/>
                <w:b w:val="0"/>
                <w:sz w:val="17"/>
              </w:rPr>
              <w:t>Intervention</w:t>
            </w:r>
          </w:p>
        </w:tc>
        <w:tc>
          <w:tcPr>
            <w:tcW w:type="dxa" w:w="8784"/>
            <w:vAlign w:val="center"/>
            <w:tcMar>
              <w:top w:w="70" w:type="dxa"/>
              <w:start w:w="70" w:type="dxa"/>
              <w:bottom w:w="70" w:type="dxa"/>
              <w:end w:w="70" w:type="dxa"/>
            </w:tcMar>
            <w:shd w:fill="FAFAFA"/>
          </w:tcPr>
          <w:p>
            <w:pPr>
              <w:spacing w:after="0" w:before="0"/>
              <w:jc w:val="left"/>
            </w:pPr>
            <w:r/>
            <w:r>
              <w:rPr>
                <w:rFonts w:ascii="Aptos" w:hAnsi="Aptos"/>
                <w:b w:val="0"/>
                <w:sz w:val="17"/>
              </w:rPr>
              <w:t>Blast design, integrated data, and predictive artifacts.</w:t>
            </w:r>
          </w:p>
        </w:tc>
      </w:tr>
      <w:tr>
        <w:trPr>
          <w:cantSplit/>
        </w:trPr>
        <w:tc>
          <w:tcPr>
            <w:tcW w:type="dxa" w:w="2016"/>
            <w:vAlign w:val="center"/>
            <w:tcMar>
              <w:top w:w="70" w:type="dxa"/>
              <w:start w:w="70" w:type="dxa"/>
              <w:bottom w:w="70" w:type="dxa"/>
              <w:end w:w="70" w:type="dxa"/>
            </w:tcMar>
          </w:tcPr>
          <w:p>
            <w:pPr>
              <w:spacing w:after="0" w:before="0"/>
              <w:jc w:val="left"/>
            </w:pPr>
            <w:r/>
            <w:r>
              <w:rPr>
                <w:rFonts w:ascii="Aptos" w:hAnsi="Aptos"/>
                <w:b w:val="0"/>
                <w:sz w:val="17"/>
              </w:rPr>
              <w:t>Mechanism</w:t>
            </w:r>
          </w:p>
        </w:tc>
        <w:tc>
          <w:tcPr>
            <w:tcW w:type="dxa" w:w="8784"/>
            <w:vAlign w:val="center"/>
            <w:tcMar>
              <w:top w:w="70" w:type="dxa"/>
              <w:start w:w="70" w:type="dxa"/>
              <w:bottom w:w="70" w:type="dxa"/>
              <w:end w:w="70" w:type="dxa"/>
            </w:tcMar>
          </w:tcPr>
          <w:p>
            <w:pPr>
              <w:spacing w:after="0" w:before="0"/>
              <w:jc w:val="left"/>
            </w:pPr>
            <w:r/>
            <w:r>
              <w:rPr>
                <w:rFonts w:ascii="Aptos" w:hAnsi="Aptos"/>
                <w:b w:val="0"/>
                <w:sz w:val="17"/>
              </w:rPr>
              <w:t>Fragmentation, geomechanics, material traceability, tabular learning, uncertainty, and temporal adaptation.</w:t>
            </w:r>
          </w:p>
        </w:tc>
      </w:tr>
      <w:tr>
        <w:trPr>
          <w:cantSplit/>
        </w:trPr>
        <w:tc>
          <w:tcPr>
            <w:tcW w:type="dxa" w:w="2016"/>
            <w:vAlign w:val="center"/>
            <w:tcMar>
              <w:top w:w="70" w:type="dxa"/>
              <w:start w:w="70" w:type="dxa"/>
              <w:bottom w:w="70" w:type="dxa"/>
              <w:end w:w="70" w:type="dxa"/>
            </w:tcMar>
            <w:shd w:fill="FAFAFA"/>
          </w:tcPr>
          <w:p>
            <w:pPr>
              <w:spacing w:after="0" w:before="0"/>
              <w:jc w:val="left"/>
            </w:pPr>
            <w:r/>
            <w:r>
              <w:rPr>
                <w:rFonts w:ascii="Aptos" w:hAnsi="Aptos"/>
                <w:b w:val="0"/>
                <w:sz w:val="17"/>
              </w:rPr>
              <w:t>Outcomes</w:t>
            </w:r>
          </w:p>
        </w:tc>
        <w:tc>
          <w:tcPr>
            <w:tcW w:type="dxa" w:w="8784"/>
            <w:vAlign w:val="center"/>
            <w:tcMar>
              <w:top w:w="70" w:type="dxa"/>
              <w:start w:w="70" w:type="dxa"/>
              <w:bottom w:w="70" w:type="dxa"/>
              <w:end w:w="70" w:type="dxa"/>
            </w:tcMar>
            <w:shd w:fill="FAFAFA"/>
          </w:tcPr>
          <w:p>
            <w:pPr>
              <w:spacing w:after="0" w:before="0"/>
              <w:jc w:val="left"/>
            </w:pPr>
            <w:r/>
            <w:r>
              <w:rPr>
                <w:rFonts w:ascii="Aptos" w:hAnsi="Aptos"/>
                <w:b w:val="0"/>
                <w:sz w:val="17"/>
              </w:rPr>
              <w:t>Power, specific energy, throughput, peak-load risk, predictive error, calibration, stability, and explanation quality.</w:t>
            </w:r>
          </w:p>
        </w:tc>
      </w:tr>
    </w:tbl>
    <w:p>
      <w:pPr>
        <w:pStyle w:val="Heading1"/>
      </w:pPr>
      <w:r>
        <w:t>3. Search protocol</w:t>
      </w:r>
    </w:p>
    <w:p>
      <w:r>
        <w:t>Pilot search date: 13 June 2026. Main discovery source: Semantic Scholar. Supplementary identification: backward and forward citation searching from seed papers. The counts below refer to the documented pilot screening log used for this course deliverable. The final thesis review will retain database export files, timestamps, query syntax by database, duplicate-resolution records, and full-text exclusion reasons.</w:t>
      </w:r>
    </w:p>
    <w:p>
      <w:pPr>
        <w:pStyle w:val="Heading2"/>
      </w:pPr>
      <w:r>
        <w:t>3.1 Domain search string</w:t>
      </w:r>
    </w:p>
    <w:p>
      <w:r>
        <w:rPr>
          <w:rFonts w:ascii="Consolas" w:hAnsi="Consolas"/>
          <w:sz w:val="18"/>
        </w:rPr>
        <w:t>(“blast design” OR blasting OR fragmentation OR “powder factor” OR “rock fragmentation”) AND (“primary crusher” OR crusher OR crushing OR comminution OR “mine-to-mill” OR “mine-to-crusher”) AND (energy OR power OR “specific energy” OR throughput) AND (model* OR predict* OR simulation OR “machine learning”)</w:t>
      </w:r>
    </w:p>
    <w:p>
      <w:pPr>
        <w:pStyle w:val="Heading2"/>
      </w:pPr>
      <w:r>
        <w:t>3.2 Eligibility criteria</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2880"/>
            <w:vAlign w:val="center"/>
            <w:tcMar>
              <w:top w:w="70" w:type="dxa"/>
              <w:start w:w="70" w:type="dxa"/>
              <w:bottom w:w="70" w:type="dxa"/>
              <w:end w:w="70" w:type="dxa"/>
            </w:tcMar>
            <w:shd w:fill="17365D"/>
          </w:tcPr>
          <w:p>
            <w:pPr>
              <w:spacing w:after="0" w:before="0"/>
              <w:jc w:val="center"/>
            </w:pPr>
            <w:r/>
            <w:r>
              <w:rPr>
                <w:rFonts w:ascii="Aptos" w:hAnsi="Aptos"/>
                <w:b/>
                <w:color w:val="FFFFFF"/>
                <w:sz w:val="16"/>
              </w:rPr>
              <w:t>Decision</w:t>
            </w:r>
          </w:p>
        </w:tc>
        <w:tc>
          <w:tcPr>
            <w:tcW w:type="dxa" w:w="7920"/>
            <w:vAlign w:val="center"/>
            <w:tcMar>
              <w:top w:w="70" w:type="dxa"/>
              <w:start w:w="70" w:type="dxa"/>
              <w:bottom w:w="70" w:type="dxa"/>
              <w:end w:w="70" w:type="dxa"/>
            </w:tcMar>
            <w:shd w:fill="17365D"/>
          </w:tcPr>
          <w:p>
            <w:pPr>
              <w:spacing w:after="0" w:before="0"/>
              <w:jc w:val="center"/>
            </w:pPr>
            <w:r/>
            <w:r>
              <w:rPr>
                <w:rFonts w:ascii="Aptos" w:hAnsi="Aptos"/>
                <w:b/>
                <w:color w:val="FFFFFF"/>
                <w:sz w:val="16"/>
              </w:rPr>
              <w:t>Rule</w:t>
            </w:r>
          </w:p>
        </w:tc>
      </w:tr>
      <w:tr>
        <w:trPr>
          <w:cantSplit/>
        </w:trPr>
        <w:tc>
          <w:tcPr>
            <w:tcW w:type="dxa" w:w="2880"/>
            <w:vAlign w:val="center"/>
            <w:tcMar>
              <w:top w:w="70" w:type="dxa"/>
              <w:start w:w="70" w:type="dxa"/>
              <w:bottom w:w="70" w:type="dxa"/>
              <w:end w:w="70" w:type="dxa"/>
            </w:tcMar>
          </w:tcPr>
          <w:p>
            <w:pPr>
              <w:spacing w:after="0" w:before="0"/>
              <w:jc w:val="left"/>
            </w:pPr>
            <w:r/>
            <w:r>
              <w:rPr>
                <w:rFonts w:ascii="Aptos" w:hAnsi="Aptos"/>
                <w:b w:val="0"/>
                <w:sz w:val="16"/>
              </w:rPr>
              <w:t>Include</w:t>
            </w:r>
          </w:p>
        </w:tc>
        <w:tc>
          <w:tcPr>
            <w:tcW w:type="dxa" w:w="7920"/>
            <w:vAlign w:val="center"/>
            <w:tcMar>
              <w:top w:w="70" w:type="dxa"/>
              <w:start w:w="70" w:type="dxa"/>
              <w:bottom w:w="70" w:type="dxa"/>
              <w:end w:w="70" w:type="dxa"/>
            </w:tcMar>
          </w:tcPr>
          <w:p>
            <w:pPr>
              <w:spacing w:after="0" w:before="0"/>
              <w:jc w:val="left"/>
            </w:pPr>
            <w:r/>
            <w:r>
              <w:rPr>
                <w:rFonts w:ascii="Aptos" w:hAnsi="Aptos"/>
                <w:b w:val="0"/>
                <w:sz w:val="16"/>
              </w:rPr>
              <w:t>Peer-reviewed domain study or review relevant to blast-fragmentation and crushing/comminution performance; 2017-2026; English or Spanish; extractable method and finding; mining or mineral-processing context.</w:t>
            </w:r>
          </w:p>
        </w:tc>
      </w:tr>
      <w:tr>
        <w:trPr>
          <w:cantSplit/>
        </w:trPr>
        <w:tc>
          <w:tcPr>
            <w:tcW w:type="dxa" w:w="2880"/>
            <w:vAlign w:val="center"/>
            <w:tcMar>
              <w:top w:w="70" w:type="dxa"/>
              <w:start w:w="70" w:type="dxa"/>
              <w:bottom w:w="70" w:type="dxa"/>
              <w:end w:w="70" w:type="dxa"/>
            </w:tcMar>
            <w:shd w:fill="FAFAFA"/>
          </w:tcPr>
          <w:p>
            <w:pPr>
              <w:spacing w:after="0" w:before="0"/>
              <w:jc w:val="left"/>
            </w:pPr>
            <w:r/>
            <w:r>
              <w:rPr>
                <w:rFonts w:ascii="Aptos" w:hAnsi="Aptos"/>
                <w:b w:val="0"/>
                <w:sz w:val="16"/>
              </w:rPr>
              <w:t>Exclude</w:t>
            </w:r>
          </w:p>
        </w:tc>
        <w:tc>
          <w:tcPr>
            <w:tcW w:type="dxa" w:w="7920"/>
            <w:vAlign w:val="center"/>
            <w:tcMar>
              <w:top w:w="70" w:type="dxa"/>
              <w:start w:w="70" w:type="dxa"/>
              <w:bottom w:w="70" w:type="dxa"/>
              <w:end w:w="70" w:type="dxa"/>
            </w:tcMar>
            <w:shd w:fill="FAFAFA"/>
          </w:tcPr>
          <w:p>
            <w:pPr>
              <w:spacing w:after="0" w:before="0"/>
              <w:jc w:val="left"/>
            </w:pPr>
            <w:r/>
            <w:r>
              <w:rPr>
                <w:rFonts w:ascii="Aptos" w:hAnsi="Aptos"/>
                <w:b w:val="0"/>
                <w:sz w:val="16"/>
              </w:rPr>
              <w:t>No direct link to blasting/fragmentation and downstream operation; promotional material; duplicate report; insufficient methodological detail; inaccessible full text for the pilot review.</w:t>
            </w:r>
          </w:p>
        </w:tc>
      </w:tr>
      <w:tr>
        <w:trPr>
          <w:cantSplit/>
        </w:trPr>
        <w:tc>
          <w:tcPr>
            <w:tcW w:type="dxa" w:w="2880"/>
            <w:vAlign w:val="center"/>
            <w:tcMar>
              <w:top w:w="70" w:type="dxa"/>
              <w:start w:w="70" w:type="dxa"/>
              <w:bottom w:w="70" w:type="dxa"/>
              <w:end w:w="70" w:type="dxa"/>
            </w:tcMar>
          </w:tcPr>
          <w:p>
            <w:pPr>
              <w:spacing w:after="0" w:before="0"/>
              <w:jc w:val="left"/>
            </w:pPr>
            <w:r/>
            <w:r>
              <w:rPr>
                <w:rFonts w:ascii="Aptos" w:hAnsi="Aptos"/>
                <w:b w:val="0"/>
                <w:sz w:val="16"/>
              </w:rPr>
              <w:t>Methodological foundations outside PRISMA</w:t>
            </w:r>
          </w:p>
        </w:tc>
        <w:tc>
          <w:tcPr>
            <w:tcW w:type="dxa" w:w="7920"/>
            <w:vAlign w:val="center"/>
            <w:tcMar>
              <w:top w:w="70" w:type="dxa"/>
              <w:start w:w="70" w:type="dxa"/>
              <w:bottom w:w="70" w:type="dxa"/>
              <w:end w:w="70" w:type="dxa"/>
            </w:tcMar>
          </w:tcPr>
          <w:p>
            <w:pPr>
              <w:spacing w:after="0" w:before="0"/>
              <w:jc w:val="left"/>
            </w:pPr>
            <w:r/>
            <w:r>
              <w:rPr>
                <w:rFonts w:ascii="Aptos" w:hAnsi="Aptos"/>
                <w:b w:val="0"/>
                <w:sz w:val="16"/>
              </w:rPr>
              <w:t>Seminal or primary tool papers pre-specified for CatBoost, SHAP, River, and ADWIN. These support the artifact design but are not treated as domain-search hits.</w:t>
            </w:r>
          </w:p>
        </w:tc>
      </w:tr>
    </w:tbl>
    <w:p>
      <w:pPr>
        <w:pStyle w:val="Heading1"/>
      </w:pPr>
      <w:r>
        <w:t>4. PRISMA 2020 flow</w:t>
      </w:r>
    </w:p>
    <w:p>
      <w:pPr>
        <w:jc w:val="center"/>
      </w:pPr>
      <w:r>
        <w:drawing>
          <wp:inline xmlns:a="http://schemas.openxmlformats.org/drawingml/2006/main" xmlns:pic="http://schemas.openxmlformats.org/drawingml/2006/picture">
            <wp:extent cx="6035040" cy="7644384"/>
            <wp:docPr id="1" name="Picture 1"/>
            <wp:cNvGraphicFramePr>
              <a:graphicFrameLocks noChangeAspect="1"/>
            </wp:cNvGraphicFramePr>
            <a:graphic>
              <a:graphicData uri="http://schemas.openxmlformats.org/drawingml/2006/picture">
                <pic:pic>
                  <pic:nvPicPr>
                    <pic:cNvPr id="0" name="prisma_flow_revised_en.png"/>
                    <pic:cNvPicPr/>
                  </pic:nvPicPr>
                  <pic:blipFill>
                    <a:blip r:embed="rId11"/>
                    <a:stretch>
                      <a:fillRect/>
                    </a:stretch>
                  </pic:blipFill>
                  <pic:spPr>
                    <a:xfrm>
                      <a:off x="0" y="0"/>
                      <a:ext cx="6035040" cy="7644384"/>
                    </a:xfrm>
                    <a:prstGeom prst="rect"/>
                  </pic:spPr>
                </pic:pic>
              </a:graphicData>
            </a:graphic>
          </wp:inline>
        </w:drawing>
      </w:r>
    </w:p>
    <w:p>
      <w:pPr>
        <w:jc w:val="center"/>
      </w:pPr>
      <w:r>
        <w:rPr>
          <w:i/>
          <w:sz w:val="17"/>
        </w:rPr>
        <w:t>Figure 1. Identification, screening, eligibility, and inclusion for the pilot domain search. The four methodological foundations are reported separately and do not inflate the six-study PRISMA inclusion count.</w:t>
      </w:r>
    </w:p>
    <w:p>
      <w:pPr>
        <w:pStyle w:val="Heading1"/>
      </w:pPr>
      <w:r>
        <w:t>5. Six domain studies included through the PRISMA process</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cantSplit/>
        </w:trPr>
        <w:tc>
          <w:tcPr>
            <w:tcW w:type="dxa" w:w="1944"/>
            <w:vAlign w:val="center"/>
            <w:tcMar>
              <w:top w:w="70" w:type="dxa"/>
              <w:start w:w="70" w:type="dxa"/>
              <w:bottom w:w="70" w:type="dxa"/>
              <w:end w:w="70" w:type="dxa"/>
            </w:tcMar>
            <w:shd w:fill="17365D"/>
          </w:tcPr>
          <w:p>
            <w:pPr>
              <w:spacing w:after="0" w:before="0"/>
              <w:jc w:val="center"/>
            </w:pPr>
            <w:r/>
            <w:r>
              <w:rPr>
                <w:rFonts w:ascii="Aptos" w:hAnsi="Aptos"/>
                <w:b/>
                <w:color w:val="FFFFFF"/>
                <w:sz w:val="15"/>
              </w:rPr>
              <w:t>Study</w:t>
            </w:r>
          </w:p>
        </w:tc>
        <w:tc>
          <w:tcPr>
            <w:tcW w:type="dxa" w:w="3240"/>
            <w:vAlign w:val="center"/>
            <w:tcMar>
              <w:top w:w="70" w:type="dxa"/>
              <w:start w:w="70" w:type="dxa"/>
              <w:bottom w:w="70" w:type="dxa"/>
              <w:end w:w="70" w:type="dxa"/>
            </w:tcMar>
            <w:shd w:fill="17365D"/>
          </w:tcPr>
          <w:p>
            <w:pPr>
              <w:spacing w:after="0" w:before="0"/>
              <w:jc w:val="center"/>
            </w:pPr>
            <w:r/>
            <w:r>
              <w:rPr>
                <w:rFonts w:ascii="Aptos" w:hAnsi="Aptos"/>
                <w:b/>
                <w:color w:val="FFFFFF"/>
                <w:sz w:val="15"/>
              </w:rPr>
              <w:t>Context/method</w:t>
            </w:r>
          </w:p>
        </w:tc>
        <w:tc>
          <w:tcPr>
            <w:tcW w:type="dxa" w:w="3240"/>
            <w:vAlign w:val="center"/>
            <w:tcMar>
              <w:top w:w="70" w:type="dxa"/>
              <w:start w:w="70" w:type="dxa"/>
              <w:bottom w:w="70" w:type="dxa"/>
              <w:end w:w="70" w:type="dxa"/>
            </w:tcMar>
            <w:shd w:fill="17365D"/>
          </w:tcPr>
          <w:p>
            <w:pPr>
              <w:spacing w:after="0" w:before="0"/>
              <w:jc w:val="center"/>
            </w:pPr>
            <w:r/>
            <w:r>
              <w:rPr>
                <w:rFonts w:ascii="Aptos" w:hAnsi="Aptos"/>
                <w:b/>
                <w:color w:val="FFFFFF"/>
                <w:sz w:val="15"/>
              </w:rPr>
              <w:t>Main finding</w:t>
            </w:r>
          </w:p>
        </w:tc>
        <w:tc>
          <w:tcPr>
            <w:tcW w:type="dxa" w:w="3096"/>
            <w:vAlign w:val="center"/>
            <w:tcMar>
              <w:top w:w="70" w:type="dxa"/>
              <w:start w:w="70" w:type="dxa"/>
              <w:bottom w:w="70" w:type="dxa"/>
              <w:end w:w="70" w:type="dxa"/>
            </w:tcMar>
            <w:shd w:fill="17365D"/>
          </w:tcPr>
          <w:p>
            <w:pPr>
              <w:spacing w:after="0" w:before="0"/>
              <w:jc w:val="center"/>
            </w:pPr>
            <w:r/>
            <w:r>
              <w:rPr>
                <w:rFonts w:ascii="Aptos" w:hAnsi="Aptos"/>
                <w:b/>
                <w:color w:val="FFFFFF"/>
                <w:sz w:val="15"/>
              </w:rPr>
              <w:t>Relevance and limitation</w:t>
            </w:r>
          </w:p>
        </w:tc>
      </w:tr>
      <w:tr>
        <w:trPr>
          <w:cantSplit/>
        </w:trPr>
        <w:tc>
          <w:tcPr>
            <w:tcW w:type="dxa" w:w="1944"/>
            <w:vAlign w:val="center"/>
            <w:tcMar>
              <w:top w:w="70" w:type="dxa"/>
              <w:start w:w="70" w:type="dxa"/>
              <w:bottom w:w="70" w:type="dxa"/>
              <w:end w:w="70" w:type="dxa"/>
            </w:tcMar>
          </w:tcPr>
          <w:p>
            <w:pPr>
              <w:spacing w:after="0" w:before="0"/>
              <w:jc w:val="left"/>
            </w:pPr>
            <w:r/>
            <w:r>
              <w:rPr>
                <w:rFonts w:ascii="Aptos" w:hAnsi="Aptos"/>
                <w:b w:val="0"/>
                <w:sz w:val="15"/>
              </w:rPr>
              <w:t>Lastra et al. (2021)</w:t>
            </w:r>
          </w:p>
        </w:tc>
        <w:tc>
          <w:tcPr>
            <w:tcW w:type="dxa" w:w="3240"/>
            <w:vAlign w:val="center"/>
            <w:tcMar>
              <w:top w:w="70" w:type="dxa"/>
              <w:start w:w="70" w:type="dxa"/>
              <w:bottom w:w="70" w:type="dxa"/>
              <w:end w:w="70" w:type="dxa"/>
            </w:tcMar>
          </w:tcPr>
          <w:p>
            <w:pPr>
              <w:spacing w:after="0" w:before="0"/>
              <w:jc w:val="left"/>
            </w:pPr>
            <w:r/>
            <w:r>
              <w:rPr>
                <w:rFonts w:ascii="Aptos" w:hAnsi="Aptos"/>
                <w:b w:val="0"/>
                <w:sz w:val="15"/>
              </w:rPr>
              <w:t>Simulation of geotechnical ore properties and blast design in comminution circuits.</w:t>
            </w:r>
          </w:p>
        </w:tc>
        <w:tc>
          <w:tcPr>
            <w:tcW w:type="dxa" w:w="3240"/>
            <w:vAlign w:val="center"/>
            <w:tcMar>
              <w:top w:w="70" w:type="dxa"/>
              <w:start w:w="70" w:type="dxa"/>
              <w:bottom w:w="70" w:type="dxa"/>
              <w:end w:w="70" w:type="dxa"/>
            </w:tcMar>
          </w:tcPr>
          <w:p>
            <w:pPr>
              <w:spacing w:after="0" w:before="0"/>
              <w:jc w:val="left"/>
            </w:pPr>
            <w:r/>
            <w:r>
              <w:rPr>
                <w:rFonts w:ascii="Aptos" w:hAnsi="Aptos"/>
                <w:b w:val="0"/>
                <w:sz w:val="15"/>
              </w:rPr>
              <w:t>Blast design and ore properties alter overall circuit performance.</w:t>
            </w:r>
          </w:p>
        </w:tc>
        <w:tc>
          <w:tcPr>
            <w:tcW w:type="dxa" w:w="3096"/>
            <w:vAlign w:val="center"/>
            <w:tcMar>
              <w:top w:w="70" w:type="dxa"/>
              <w:start w:w="70" w:type="dxa"/>
              <w:bottom w:w="70" w:type="dxa"/>
              <w:end w:w="70" w:type="dxa"/>
            </w:tcMar>
          </w:tcPr>
          <w:p>
            <w:pPr>
              <w:spacing w:after="0" w:before="0"/>
              <w:jc w:val="left"/>
            </w:pPr>
            <w:r/>
            <w:r>
              <w:rPr>
                <w:rFonts w:ascii="Aptos" w:hAnsi="Aptos"/>
                <w:b w:val="0"/>
                <w:sz w:val="15"/>
              </w:rPr>
              <w:t>Strong Mine-to-Mill anchor; simulation rather than adaptive online validation.</w:t>
            </w:r>
          </w:p>
        </w:tc>
      </w:tr>
      <w:tr>
        <w:trPr>
          <w:cantSplit/>
        </w:trPr>
        <w:tc>
          <w:tcPr>
            <w:tcW w:type="dxa" w:w="1944"/>
            <w:vAlign w:val="center"/>
            <w:tcMar>
              <w:top w:w="70" w:type="dxa"/>
              <w:start w:w="70" w:type="dxa"/>
              <w:bottom w:w="70" w:type="dxa"/>
              <w:end w:w="70" w:type="dxa"/>
            </w:tcMar>
            <w:shd w:fill="FAFAFA"/>
          </w:tcPr>
          <w:p>
            <w:pPr>
              <w:spacing w:after="0" w:before="0"/>
              <w:jc w:val="left"/>
            </w:pPr>
            <w:r/>
            <w:r>
              <w:rPr>
                <w:rFonts w:ascii="Aptos" w:hAnsi="Aptos"/>
                <w:b w:val="0"/>
                <w:sz w:val="15"/>
              </w:rPr>
              <w:t>Nikkhah et al. (2022)</w:t>
            </w:r>
          </w:p>
        </w:tc>
        <w:tc>
          <w:tcPr>
            <w:tcW w:type="dxa" w:w="3240"/>
            <w:vAlign w:val="center"/>
            <w:tcMar>
              <w:top w:w="70" w:type="dxa"/>
              <w:start w:w="70" w:type="dxa"/>
              <w:bottom w:w="70" w:type="dxa"/>
              <w:end w:w="70" w:type="dxa"/>
            </w:tcMar>
            <w:shd w:fill="FAFAFA"/>
          </w:tcPr>
          <w:p>
            <w:pPr>
              <w:spacing w:after="0" w:before="0"/>
              <w:jc w:val="left"/>
            </w:pPr>
            <w:r/>
            <w:r>
              <w:rPr>
                <w:rFonts w:ascii="Aptos" w:hAnsi="Aptos"/>
                <w:b w:val="0"/>
                <w:sz w:val="15"/>
              </w:rPr>
              <w:t>Fragmentation and mining-performance analysis at Sarcheshmeh copper mine.</w:t>
            </w:r>
          </w:p>
        </w:tc>
        <w:tc>
          <w:tcPr>
            <w:tcW w:type="dxa" w:w="3240"/>
            <w:vAlign w:val="center"/>
            <w:tcMar>
              <w:top w:w="70" w:type="dxa"/>
              <w:start w:w="70" w:type="dxa"/>
              <w:bottom w:w="70" w:type="dxa"/>
              <w:end w:w="70" w:type="dxa"/>
            </w:tcMar>
            <w:shd w:fill="FAFAFA"/>
          </w:tcPr>
          <w:p>
            <w:pPr>
              <w:spacing w:after="0" w:before="0"/>
              <w:jc w:val="left"/>
            </w:pPr>
            <w:r/>
            <w:r>
              <w:rPr>
                <w:rFonts w:ascii="Aptos" w:hAnsi="Aptos"/>
                <w:b w:val="0"/>
                <w:sz w:val="15"/>
              </w:rPr>
              <w:t>Fragmentation affects downstream operational performance; relationships are site-specific.</w:t>
            </w:r>
          </w:p>
        </w:tc>
        <w:tc>
          <w:tcPr>
            <w:tcW w:type="dxa" w:w="3096"/>
            <w:vAlign w:val="center"/>
            <w:tcMar>
              <w:top w:w="70" w:type="dxa"/>
              <w:start w:w="70" w:type="dxa"/>
              <w:bottom w:w="70" w:type="dxa"/>
              <w:end w:w="70" w:type="dxa"/>
            </w:tcMar>
            <w:shd w:fill="FAFAFA"/>
          </w:tcPr>
          <w:p>
            <w:pPr>
              <w:spacing w:after="0" w:before="0"/>
              <w:jc w:val="left"/>
            </w:pPr>
            <w:r/>
            <w:r>
              <w:rPr>
                <w:rFonts w:ascii="Aptos" w:hAnsi="Aptos"/>
                <w:b w:val="0"/>
                <w:sz w:val="15"/>
              </w:rPr>
              <w:t>Empirical copper-mine evidence; only 20 studied blast blocks for key analyses and no probabilistic energy model.</w:t>
            </w:r>
          </w:p>
        </w:tc>
      </w:tr>
      <w:tr>
        <w:trPr>
          <w:cantSplit/>
        </w:trPr>
        <w:tc>
          <w:tcPr>
            <w:tcW w:type="dxa" w:w="1944"/>
            <w:vAlign w:val="center"/>
            <w:tcMar>
              <w:top w:w="70" w:type="dxa"/>
              <w:start w:w="70" w:type="dxa"/>
              <w:bottom w:w="70" w:type="dxa"/>
              <w:end w:w="70" w:type="dxa"/>
            </w:tcMar>
          </w:tcPr>
          <w:p>
            <w:pPr>
              <w:spacing w:after="0" w:before="0"/>
              <w:jc w:val="left"/>
            </w:pPr>
            <w:r/>
            <w:r>
              <w:rPr>
                <w:rFonts w:ascii="Aptos" w:hAnsi="Aptos"/>
                <w:b w:val="0"/>
                <w:sz w:val="15"/>
              </w:rPr>
              <w:t>Yamashita et al. (2021)</w:t>
            </w:r>
          </w:p>
        </w:tc>
        <w:tc>
          <w:tcPr>
            <w:tcW w:type="dxa" w:w="3240"/>
            <w:vAlign w:val="center"/>
            <w:tcMar>
              <w:top w:w="70" w:type="dxa"/>
              <w:start w:w="70" w:type="dxa"/>
              <w:bottom w:w="70" w:type="dxa"/>
              <w:end w:w="70" w:type="dxa"/>
            </w:tcMar>
          </w:tcPr>
          <w:p>
            <w:pPr>
              <w:spacing w:after="0" w:before="0"/>
              <w:jc w:val="left"/>
            </w:pPr>
            <w:r/>
            <w:r>
              <w:rPr>
                <w:rFonts w:ascii="Aptos" w:hAnsi="Aptos"/>
                <w:b w:val="0"/>
                <w:sz w:val="15"/>
              </w:rPr>
              <w:t>Review of cone-crusher modeling and control from 1972-2020.</w:t>
            </w:r>
          </w:p>
        </w:tc>
        <w:tc>
          <w:tcPr>
            <w:tcW w:type="dxa" w:w="3240"/>
            <w:vAlign w:val="center"/>
            <w:tcMar>
              <w:top w:w="70" w:type="dxa"/>
              <w:start w:w="70" w:type="dxa"/>
              <w:bottom w:w="70" w:type="dxa"/>
              <w:end w:w="70" w:type="dxa"/>
            </w:tcMar>
          </w:tcPr>
          <w:p>
            <w:pPr>
              <w:spacing w:after="0" w:before="0"/>
              <w:jc w:val="left"/>
            </w:pPr>
            <w:r/>
            <w:r>
              <w:rPr>
                <w:rFonts w:ascii="Aptos" w:hAnsi="Aptos"/>
                <w:b w:val="0"/>
                <w:sz w:val="15"/>
              </w:rPr>
              <w:t>Field is moving toward empirical, mechanistic, data-driven, and plant-wide approaches.</w:t>
            </w:r>
          </w:p>
        </w:tc>
        <w:tc>
          <w:tcPr>
            <w:tcW w:type="dxa" w:w="3096"/>
            <w:vAlign w:val="center"/>
            <w:tcMar>
              <w:top w:w="70" w:type="dxa"/>
              <w:start w:w="70" w:type="dxa"/>
              <w:bottom w:w="70" w:type="dxa"/>
              <w:end w:w="70" w:type="dxa"/>
            </w:tcMar>
          </w:tcPr>
          <w:p>
            <w:pPr>
              <w:spacing w:after="0" w:before="0"/>
              <w:jc w:val="left"/>
            </w:pPr>
            <w:r/>
            <w:r>
              <w:rPr>
                <w:rFonts w:ascii="Aptos" w:hAnsi="Aptos"/>
                <w:b w:val="0"/>
                <w:sz w:val="15"/>
              </w:rPr>
              <w:t>Supports data-driven modeling; not a blast-to-energy linkage study.</w:t>
            </w:r>
          </w:p>
        </w:tc>
      </w:tr>
      <w:tr>
        <w:trPr>
          <w:cantSplit/>
        </w:trPr>
        <w:tc>
          <w:tcPr>
            <w:tcW w:type="dxa" w:w="1944"/>
            <w:vAlign w:val="center"/>
            <w:tcMar>
              <w:top w:w="70" w:type="dxa"/>
              <w:start w:w="70" w:type="dxa"/>
              <w:bottom w:w="70" w:type="dxa"/>
              <w:end w:w="70" w:type="dxa"/>
            </w:tcMar>
            <w:shd w:fill="FAFAFA"/>
          </w:tcPr>
          <w:p>
            <w:pPr>
              <w:spacing w:after="0" w:before="0"/>
              <w:jc w:val="left"/>
            </w:pPr>
            <w:r/>
            <w:r>
              <w:rPr>
                <w:rFonts w:ascii="Aptos" w:hAnsi="Aptos"/>
                <w:b w:val="0"/>
                <w:sz w:val="15"/>
              </w:rPr>
              <w:t>Navarro Torres et al. (2024)</w:t>
            </w:r>
          </w:p>
        </w:tc>
        <w:tc>
          <w:tcPr>
            <w:tcW w:type="dxa" w:w="3240"/>
            <w:vAlign w:val="center"/>
            <w:tcMar>
              <w:top w:w="70" w:type="dxa"/>
              <w:start w:w="70" w:type="dxa"/>
              <w:bottom w:w="70" w:type="dxa"/>
              <w:end w:w="70" w:type="dxa"/>
            </w:tcMar>
            <w:shd w:fill="FAFAFA"/>
          </w:tcPr>
          <w:p>
            <w:pPr>
              <w:spacing w:after="0" w:before="0"/>
              <w:jc w:val="left"/>
            </w:pPr>
            <w:r/>
            <w:r>
              <w:rPr>
                <w:rFonts w:ascii="Aptos" w:hAnsi="Aptos"/>
                <w:b w:val="0"/>
                <w:sz w:val="15"/>
              </w:rPr>
              <w:t>Mine-to-Crusher model with blast-pile image analysis and operating-cost calibration in Brazil.</w:t>
            </w:r>
          </w:p>
        </w:tc>
        <w:tc>
          <w:tcPr>
            <w:tcW w:type="dxa" w:w="3240"/>
            <w:vAlign w:val="center"/>
            <w:tcMar>
              <w:top w:w="70" w:type="dxa"/>
              <w:start w:w="70" w:type="dxa"/>
              <w:bottom w:w="70" w:type="dxa"/>
              <w:end w:w="70" w:type="dxa"/>
            </w:tcMar>
            <w:shd w:fill="FAFAFA"/>
          </w:tcPr>
          <w:p>
            <w:pPr>
              <w:spacing w:after="0" w:before="0"/>
              <w:jc w:val="left"/>
            </w:pPr>
            <w:r/>
            <w:r>
              <w:rPr>
                <w:rFonts w:ascii="Aptos" w:hAnsi="Aptos"/>
                <w:b w:val="0"/>
                <w:sz w:val="15"/>
              </w:rPr>
              <w:t>Fragment size integration supports cost optimization across blasting to primary crushing.</w:t>
            </w:r>
          </w:p>
        </w:tc>
        <w:tc>
          <w:tcPr>
            <w:tcW w:type="dxa" w:w="3096"/>
            <w:vAlign w:val="center"/>
            <w:tcMar>
              <w:top w:w="70" w:type="dxa"/>
              <w:start w:w="70" w:type="dxa"/>
              <w:bottom w:w="70" w:type="dxa"/>
              <w:end w:w="70" w:type="dxa"/>
            </w:tcMar>
            <w:shd w:fill="FAFAFA"/>
          </w:tcPr>
          <w:p>
            <w:pPr>
              <w:spacing w:after="0" w:before="0"/>
              <w:jc w:val="left"/>
            </w:pPr>
            <w:r/>
            <w:r>
              <w:rPr>
                <w:rFonts w:ascii="Aptos" w:hAnsi="Aptos"/>
                <w:b w:val="0"/>
                <w:sz w:val="15"/>
              </w:rPr>
              <w:t>Close Latin American precedent; focuses on cost and P90 rather than adaptive energy prediction.</w:t>
            </w:r>
          </w:p>
        </w:tc>
      </w:tr>
      <w:tr>
        <w:trPr>
          <w:cantSplit/>
        </w:trPr>
        <w:tc>
          <w:tcPr>
            <w:tcW w:type="dxa" w:w="1944"/>
            <w:vAlign w:val="center"/>
            <w:tcMar>
              <w:top w:w="70" w:type="dxa"/>
              <w:start w:w="70" w:type="dxa"/>
              <w:bottom w:w="70" w:type="dxa"/>
              <w:end w:w="70" w:type="dxa"/>
            </w:tcMar>
          </w:tcPr>
          <w:p>
            <w:pPr>
              <w:spacing w:after="0" w:before="0"/>
              <w:jc w:val="left"/>
            </w:pPr>
            <w:r/>
            <w:r>
              <w:rPr>
                <w:rFonts w:ascii="Aptos" w:hAnsi="Aptos"/>
                <w:b w:val="0"/>
                <w:sz w:val="15"/>
              </w:rPr>
              <w:t>Saldana et al. (2024)</w:t>
            </w:r>
          </w:p>
        </w:tc>
        <w:tc>
          <w:tcPr>
            <w:tcW w:type="dxa" w:w="3240"/>
            <w:vAlign w:val="center"/>
            <w:tcMar>
              <w:top w:w="70" w:type="dxa"/>
              <w:start w:w="70" w:type="dxa"/>
              <w:bottom w:w="70" w:type="dxa"/>
              <w:end w:w="70" w:type="dxa"/>
            </w:tcMar>
          </w:tcPr>
          <w:p>
            <w:pPr>
              <w:spacing w:after="0" w:before="0"/>
              <w:jc w:val="left"/>
            </w:pPr>
            <w:r/>
            <w:r>
              <w:rPr>
                <w:rFonts w:ascii="Aptos" w:hAnsi="Aptos"/>
                <w:b w:val="0"/>
                <w:sz w:val="15"/>
              </w:rPr>
              <w:t>Review of Kuz-Ram applications in Mine-to-Mill integration.</w:t>
            </w:r>
          </w:p>
        </w:tc>
        <w:tc>
          <w:tcPr>
            <w:tcW w:type="dxa" w:w="3240"/>
            <w:vAlign w:val="center"/>
            <w:tcMar>
              <w:top w:w="70" w:type="dxa"/>
              <w:start w:w="70" w:type="dxa"/>
              <w:bottom w:w="70" w:type="dxa"/>
              <w:end w:w="70" w:type="dxa"/>
            </w:tcMar>
          </w:tcPr>
          <w:p>
            <w:pPr>
              <w:spacing w:after="0" w:before="0"/>
              <w:jc w:val="left"/>
            </w:pPr>
            <w:r/>
            <w:r>
              <w:rPr>
                <w:rFonts w:ascii="Aptos" w:hAnsi="Aptos"/>
                <w:b w:val="0"/>
                <w:sz w:val="15"/>
              </w:rPr>
              <w:t>Literature evolved from simulation to practical and geometallurgical integration.</w:t>
            </w:r>
          </w:p>
        </w:tc>
        <w:tc>
          <w:tcPr>
            <w:tcW w:type="dxa" w:w="3096"/>
            <w:vAlign w:val="center"/>
            <w:tcMar>
              <w:top w:w="70" w:type="dxa"/>
              <w:start w:w="70" w:type="dxa"/>
              <w:bottom w:w="70" w:type="dxa"/>
              <w:end w:w="70" w:type="dxa"/>
            </w:tcMar>
          </w:tcPr>
          <w:p>
            <w:pPr>
              <w:spacing w:after="0" w:before="0"/>
              <w:jc w:val="left"/>
            </w:pPr>
            <w:r/>
            <w:r>
              <w:rPr>
                <w:rFonts w:ascii="Aptos" w:hAnsi="Aptos"/>
                <w:b w:val="0"/>
                <w:sz w:val="15"/>
              </w:rPr>
              <w:t>Maps integration trends; highlights site specificity and limited end-to-end integration.</w:t>
            </w:r>
          </w:p>
        </w:tc>
      </w:tr>
      <w:tr>
        <w:trPr>
          <w:cantSplit/>
        </w:trPr>
        <w:tc>
          <w:tcPr>
            <w:tcW w:type="dxa" w:w="1944"/>
            <w:vAlign w:val="center"/>
            <w:tcMar>
              <w:top w:w="70" w:type="dxa"/>
              <w:start w:w="70" w:type="dxa"/>
              <w:bottom w:w="70" w:type="dxa"/>
              <w:end w:w="70" w:type="dxa"/>
            </w:tcMar>
            <w:shd w:fill="FAFAFA"/>
          </w:tcPr>
          <w:p>
            <w:pPr>
              <w:spacing w:after="0" w:before="0"/>
              <w:jc w:val="left"/>
            </w:pPr>
            <w:r/>
            <w:r>
              <w:rPr>
                <w:rFonts w:ascii="Aptos" w:hAnsi="Aptos"/>
                <w:b w:val="0"/>
                <w:sz w:val="15"/>
              </w:rPr>
              <w:t>Losaladjome Mboyo et al. (2024)</w:t>
            </w:r>
          </w:p>
        </w:tc>
        <w:tc>
          <w:tcPr>
            <w:tcW w:type="dxa" w:w="3240"/>
            <w:vAlign w:val="center"/>
            <w:tcMar>
              <w:top w:w="70" w:type="dxa"/>
              <w:start w:w="70" w:type="dxa"/>
              <w:bottom w:w="70" w:type="dxa"/>
              <w:end w:w="70" w:type="dxa"/>
            </w:tcMar>
            <w:shd w:fill="FAFAFA"/>
          </w:tcPr>
          <w:p>
            <w:pPr>
              <w:spacing w:after="0" w:before="0"/>
              <w:jc w:val="left"/>
            </w:pPr>
            <w:r/>
            <w:r>
              <w:rPr>
                <w:rFonts w:ascii="Aptos" w:hAnsi="Aptos"/>
                <w:b w:val="0"/>
                <w:sz w:val="15"/>
              </w:rPr>
              <w:t>Theoretical assessment of burden, spacing, stemming, and powder factor in copper-ore comminution.</w:t>
            </w:r>
          </w:p>
        </w:tc>
        <w:tc>
          <w:tcPr>
            <w:tcW w:type="dxa" w:w="3240"/>
            <w:vAlign w:val="center"/>
            <w:tcMar>
              <w:top w:w="70" w:type="dxa"/>
              <w:start w:w="70" w:type="dxa"/>
              <w:bottom w:w="70" w:type="dxa"/>
              <w:end w:w="70" w:type="dxa"/>
            </w:tcMar>
            <w:shd w:fill="FAFAFA"/>
          </w:tcPr>
          <w:p>
            <w:pPr>
              <w:spacing w:after="0" w:before="0"/>
              <w:jc w:val="left"/>
            </w:pPr>
            <w:r/>
            <w:r>
              <w:rPr>
                <w:rFonts w:ascii="Aptos" w:hAnsi="Aptos"/>
                <w:b w:val="0"/>
                <w:sz w:val="15"/>
              </w:rPr>
              <w:t>Finer modeled X80 increased throughput and reduced specific energy and operating cost.</w:t>
            </w:r>
          </w:p>
        </w:tc>
        <w:tc>
          <w:tcPr>
            <w:tcW w:type="dxa" w:w="3096"/>
            <w:vAlign w:val="center"/>
            <w:tcMar>
              <w:top w:w="70" w:type="dxa"/>
              <w:start w:w="70" w:type="dxa"/>
              <w:bottom w:w="70" w:type="dxa"/>
              <w:end w:w="70" w:type="dxa"/>
            </w:tcMar>
            <w:shd w:fill="FAFAFA"/>
          </w:tcPr>
          <w:p>
            <w:pPr>
              <w:spacing w:after="0" w:before="0"/>
              <w:jc w:val="left"/>
            </w:pPr>
            <w:r/>
            <w:r>
              <w:rPr>
                <w:rFonts w:ascii="Aptos" w:hAnsi="Aptos"/>
                <w:b w:val="0"/>
                <w:sz w:val="15"/>
              </w:rPr>
              <w:t>Direct energy relevance; primarily model-based rather than observed adaptive prediction.</w:t>
            </w:r>
          </w:p>
        </w:tc>
      </w:tr>
    </w:tbl>
    <w:p>
      <w:pPr>
        <w:pStyle w:val="Heading1"/>
      </w:pPr>
      <w:r>
        <w:t>6. Four methodological foundations selected a priori outside PRISMA</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2880"/>
            <w:vAlign w:val="center"/>
            <w:tcMar>
              <w:top w:w="70" w:type="dxa"/>
              <w:start w:w="70" w:type="dxa"/>
              <w:bottom w:w="70" w:type="dxa"/>
              <w:end w:w="70" w:type="dxa"/>
            </w:tcMar>
            <w:shd w:fill="17365D"/>
          </w:tcPr>
          <w:p>
            <w:pPr>
              <w:spacing w:after="0" w:before="0"/>
              <w:jc w:val="center"/>
            </w:pPr>
            <w:r/>
            <w:r>
              <w:rPr>
                <w:rFonts w:ascii="Aptos" w:hAnsi="Aptos"/>
                <w:b/>
                <w:color w:val="FFFFFF"/>
                <w:sz w:val="16"/>
              </w:rPr>
              <w:t>Foundation</w:t>
            </w:r>
          </w:p>
        </w:tc>
        <w:tc>
          <w:tcPr>
            <w:tcW w:type="dxa" w:w="4464"/>
            <w:vAlign w:val="center"/>
            <w:tcMar>
              <w:top w:w="70" w:type="dxa"/>
              <w:start w:w="70" w:type="dxa"/>
              <w:bottom w:w="70" w:type="dxa"/>
              <w:end w:w="70" w:type="dxa"/>
            </w:tcMar>
            <w:shd w:fill="17365D"/>
          </w:tcPr>
          <w:p>
            <w:pPr>
              <w:spacing w:after="0" w:before="0"/>
              <w:jc w:val="center"/>
            </w:pPr>
            <w:r/>
            <w:r>
              <w:rPr>
                <w:rFonts w:ascii="Aptos" w:hAnsi="Aptos"/>
                <w:b/>
                <w:color w:val="FFFFFF"/>
                <w:sz w:val="16"/>
              </w:rPr>
              <w:t>Methodological contribution</w:t>
            </w:r>
          </w:p>
        </w:tc>
        <w:tc>
          <w:tcPr>
            <w:tcW w:type="dxa" w:w="3600"/>
            <w:vAlign w:val="center"/>
            <w:tcMar>
              <w:top w:w="70" w:type="dxa"/>
              <w:start w:w="70" w:type="dxa"/>
              <w:bottom w:w="70" w:type="dxa"/>
              <w:end w:w="70" w:type="dxa"/>
            </w:tcMar>
            <w:shd w:fill="17365D"/>
          </w:tcPr>
          <w:p>
            <w:pPr>
              <w:spacing w:after="0" w:before="0"/>
              <w:jc w:val="center"/>
            </w:pPr>
            <w:r/>
            <w:r>
              <w:rPr>
                <w:rFonts w:ascii="Aptos" w:hAnsi="Aptos"/>
                <w:b/>
                <w:color w:val="FFFFFF"/>
                <w:sz w:val="16"/>
              </w:rPr>
              <w:t>Role and caution</w:t>
            </w:r>
          </w:p>
        </w:tc>
      </w:tr>
      <w:tr>
        <w:trPr>
          <w:cantSplit/>
        </w:trPr>
        <w:tc>
          <w:tcPr>
            <w:tcW w:type="dxa" w:w="2880"/>
            <w:vAlign w:val="center"/>
            <w:tcMar>
              <w:top w:w="70" w:type="dxa"/>
              <w:start w:w="70" w:type="dxa"/>
              <w:bottom w:w="70" w:type="dxa"/>
              <w:end w:w="70" w:type="dxa"/>
            </w:tcMar>
          </w:tcPr>
          <w:p>
            <w:pPr>
              <w:spacing w:after="0" w:before="0"/>
              <w:jc w:val="left"/>
            </w:pPr>
            <w:r/>
            <w:r>
              <w:rPr>
                <w:rFonts w:ascii="Aptos" w:hAnsi="Aptos"/>
                <w:b w:val="0"/>
                <w:sz w:val="16"/>
              </w:rPr>
              <w:t>Prokhorenkova et al. (2018) - CatBoost</w:t>
            </w:r>
          </w:p>
        </w:tc>
        <w:tc>
          <w:tcPr>
            <w:tcW w:type="dxa" w:w="4464"/>
            <w:vAlign w:val="center"/>
            <w:tcMar>
              <w:top w:w="70" w:type="dxa"/>
              <w:start w:w="70" w:type="dxa"/>
              <w:bottom w:w="70" w:type="dxa"/>
              <w:end w:w="70" w:type="dxa"/>
            </w:tcMar>
          </w:tcPr>
          <w:p>
            <w:pPr>
              <w:spacing w:after="0" w:before="0"/>
              <w:jc w:val="left"/>
            </w:pPr>
            <w:r/>
            <w:r>
              <w:rPr>
                <w:rFonts w:ascii="Aptos" w:hAnsi="Aptos"/>
                <w:b w:val="0"/>
                <w:sz w:val="16"/>
              </w:rPr>
              <w:t>Ordered boosting and categorical-feature processing designed to reduce prediction shift and target leakage.</w:t>
            </w:r>
          </w:p>
        </w:tc>
        <w:tc>
          <w:tcPr>
            <w:tcW w:type="dxa" w:w="3600"/>
            <w:vAlign w:val="center"/>
            <w:tcMar>
              <w:top w:w="70" w:type="dxa"/>
              <w:start w:w="70" w:type="dxa"/>
              <w:bottom w:w="70" w:type="dxa"/>
              <w:end w:w="70" w:type="dxa"/>
            </w:tcMar>
          </w:tcPr>
          <w:p>
            <w:pPr>
              <w:spacing w:after="0" w:before="0"/>
              <w:jc w:val="left"/>
            </w:pPr>
            <w:r/>
            <w:r>
              <w:rPr>
                <w:rFonts w:ascii="Aptos" w:hAnsi="Aptos"/>
                <w:b w:val="0"/>
                <w:sz w:val="16"/>
              </w:rPr>
              <w:t>Candidate offline tabular predictor; must still be compared against simpler baselines.</w:t>
            </w:r>
          </w:p>
        </w:tc>
      </w:tr>
      <w:tr>
        <w:trPr>
          <w:cantSplit/>
        </w:trPr>
        <w:tc>
          <w:tcPr>
            <w:tcW w:type="dxa" w:w="2880"/>
            <w:vAlign w:val="center"/>
            <w:tcMar>
              <w:top w:w="70" w:type="dxa"/>
              <w:start w:w="70" w:type="dxa"/>
              <w:bottom w:w="70" w:type="dxa"/>
              <w:end w:w="70" w:type="dxa"/>
            </w:tcMar>
            <w:shd w:fill="FAFAFA"/>
          </w:tcPr>
          <w:p>
            <w:pPr>
              <w:spacing w:after="0" w:before="0"/>
              <w:jc w:val="left"/>
            </w:pPr>
            <w:r/>
            <w:r>
              <w:rPr>
                <w:rFonts w:ascii="Aptos" w:hAnsi="Aptos"/>
                <w:b w:val="0"/>
                <w:sz w:val="16"/>
              </w:rPr>
              <w:t>Lundberg and Lee (2017) - SHAP</w:t>
            </w:r>
          </w:p>
        </w:tc>
        <w:tc>
          <w:tcPr>
            <w:tcW w:type="dxa" w:w="4464"/>
            <w:vAlign w:val="center"/>
            <w:tcMar>
              <w:top w:w="70" w:type="dxa"/>
              <w:start w:w="70" w:type="dxa"/>
              <w:bottom w:w="70" w:type="dxa"/>
              <w:end w:w="70" w:type="dxa"/>
            </w:tcMar>
            <w:shd w:fill="FAFAFA"/>
          </w:tcPr>
          <w:p>
            <w:pPr>
              <w:spacing w:after="0" w:before="0"/>
              <w:jc w:val="left"/>
            </w:pPr>
            <w:r/>
            <w:r>
              <w:rPr>
                <w:rFonts w:ascii="Aptos" w:hAnsi="Aptos"/>
                <w:b w:val="0"/>
                <w:sz w:val="16"/>
              </w:rPr>
              <w:t>Unified additive feature-attribution framework for local explanations.</w:t>
            </w:r>
          </w:p>
        </w:tc>
        <w:tc>
          <w:tcPr>
            <w:tcW w:type="dxa" w:w="3600"/>
            <w:vAlign w:val="center"/>
            <w:tcMar>
              <w:top w:w="70" w:type="dxa"/>
              <w:start w:w="70" w:type="dxa"/>
              <w:bottom w:w="70" w:type="dxa"/>
              <w:end w:w="70" w:type="dxa"/>
            </w:tcMar>
            <w:shd w:fill="FAFAFA"/>
          </w:tcPr>
          <w:p>
            <w:pPr>
              <w:spacing w:after="0" w:before="0"/>
              <w:jc w:val="left"/>
            </w:pPr>
            <w:r/>
            <w:r>
              <w:rPr>
                <w:rFonts w:ascii="Aptos" w:hAnsi="Aptos"/>
                <w:b w:val="0"/>
                <w:sz w:val="16"/>
              </w:rPr>
              <w:t>Supports explanation; operational validity and temporal stability require separate evaluation.</w:t>
            </w:r>
          </w:p>
        </w:tc>
      </w:tr>
      <w:tr>
        <w:trPr>
          <w:cantSplit/>
        </w:trPr>
        <w:tc>
          <w:tcPr>
            <w:tcW w:type="dxa" w:w="2880"/>
            <w:vAlign w:val="center"/>
            <w:tcMar>
              <w:top w:w="70" w:type="dxa"/>
              <w:start w:w="70" w:type="dxa"/>
              <w:bottom w:w="70" w:type="dxa"/>
              <w:end w:w="70" w:type="dxa"/>
            </w:tcMar>
          </w:tcPr>
          <w:p>
            <w:pPr>
              <w:spacing w:after="0" w:before="0"/>
              <w:jc w:val="left"/>
            </w:pPr>
            <w:r/>
            <w:r>
              <w:rPr>
                <w:rFonts w:ascii="Aptos" w:hAnsi="Aptos"/>
                <w:b w:val="0"/>
                <w:sz w:val="16"/>
              </w:rPr>
              <w:t>Montiel et al. (2021) - River</w:t>
            </w:r>
          </w:p>
        </w:tc>
        <w:tc>
          <w:tcPr>
            <w:tcW w:type="dxa" w:w="4464"/>
            <w:vAlign w:val="center"/>
            <w:tcMar>
              <w:top w:w="70" w:type="dxa"/>
              <w:start w:w="70" w:type="dxa"/>
              <w:bottom w:w="70" w:type="dxa"/>
              <w:end w:w="70" w:type="dxa"/>
            </w:tcMar>
          </w:tcPr>
          <w:p>
            <w:pPr>
              <w:spacing w:after="0" w:before="0"/>
              <w:jc w:val="left"/>
            </w:pPr>
            <w:r/>
            <w:r>
              <w:rPr>
                <w:rFonts w:ascii="Aptos" w:hAnsi="Aptos"/>
                <w:b w:val="0"/>
                <w:sz w:val="16"/>
              </w:rPr>
              <w:t>Library and architecture for dynamic data streams and continual learning.</w:t>
            </w:r>
          </w:p>
        </w:tc>
        <w:tc>
          <w:tcPr>
            <w:tcW w:type="dxa" w:w="3600"/>
            <w:vAlign w:val="center"/>
            <w:tcMar>
              <w:top w:w="70" w:type="dxa"/>
              <w:start w:w="70" w:type="dxa"/>
              <w:bottom w:w="70" w:type="dxa"/>
              <w:end w:w="70" w:type="dxa"/>
            </w:tcMar>
          </w:tcPr>
          <w:p>
            <w:pPr>
              <w:spacing w:after="0" w:before="0"/>
              <w:jc w:val="left"/>
            </w:pPr>
            <w:r/>
            <w:r>
              <w:rPr>
                <w:rFonts w:ascii="Aptos" w:hAnsi="Aptos"/>
                <w:b w:val="0"/>
                <w:sz w:val="16"/>
              </w:rPr>
              <w:t>Supports sequential residual correction and prequential evaluation when data density is adequate.</w:t>
            </w:r>
          </w:p>
        </w:tc>
      </w:tr>
      <w:tr>
        <w:trPr>
          <w:cantSplit/>
        </w:trPr>
        <w:tc>
          <w:tcPr>
            <w:tcW w:type="dxa" w:w="2880"/>
            <w:vAlign w:val="center"/>
            <w:tcMar>
              <w:top w:w="70" w:type="dxa"/>
              <w:start w:w="70" w:type="dxa"/>
              <w:bottom w:w="70" w:type="dxa"/>
              <w:end w:w="70" w:type="dxa"/>
            </w:tcMar>
            <w:shd w:fill="FAFAFA"/>
          </w:tcPr>
          <w:p>
            <w:pPr>
              <w:spacing w:after="0" w:before="0"/>
              <w:jc w:val="left"/>
            </w:pPr>
            <w:r/>
            <w:r>
              <w:rPr>
                <w:rFonts w:ascii="Aptos" w:hAnsi="Aptos"/>
                <w:b w:val="0"/>
                <w:sz w:val="16"/>
              </w:rPr>
              <w:t>Bifet and Gavaldà (2007) - ADWIN</w:t>
            </w:r>
          </w:p>
        </w:tc>
        <w:tc>
          <w:tcPr>
            <w:tcW w:type="dxa" w:w="4464"/>
            <w:vAlign w:val="center"/>
            <w:tcMar>
              <w:top w:w="70" w:type="dxa"/>
              <w:start w:w="70" w:type="dxa"/>
              <w:bottom w:w="70" w:type="dxa"/>
              <w:end w:w="70" w:type="dxa"/>
            </w:tcMar>
            <w:shd w:fill="FAFAFA"/>
          </w:tcPr>
          <w:p>
            <w:pPr>
              <w:spacing w:after="0" w:before="0"/>
              <w:jc w:val="left"/>
            </w:pPr>
            <w:r/>
            <w:r>
              <w:rPr>
                <w:rFonts w:ascii="Aptos" w:hAnsi="Aptos"/>
                <w:b w:val="0"/>
                <w:sz w:val="16"/>
              </w:rPr>
              <w:t>Adaptive-window method for detecting distribution change in data streams.</w:t>
            </w:r>
          </w:p>
        </w:tc>
        <w:tc>
          <w:tcPr>
            <w:tcW w:type="dxa" w:w="3600"/>
            <w:vAlign w:val="center"/>
            <w:tcMar>
              <w:top w:w="70" w:type="dxa"/>
              <w:start w:w="70" w:type="dxa"/>
              <w:bottom w:w="70" w:type="dxa"/>
              <w:end w:w="70" w:type="dxa"/>
            </w:tcMar>
            <w:shd w:fill="FAFAFA"/>
          </w:tcPr>
          <w:p>
            <w:pPr>
              <w:spacing w:after="0" w:before="0"/>
              <w:jc w:val="left"/>
            </w:pPr>
            <w:r/>
            <w:r>
              <w:rPr>
                <w:rFonts w:ascii="Aptos" w:hAnsi="Aptos"/>
                <w:b w:val="0"/>
                <w:sz w:val="16"/>
              </w:rPr>
              <w:t>Supports drift monitoring; false alarms and sample-size requirements must be evaluated against scheduled retraining.</w:t>
            </w:r>
          </w:p>
        </w:tc>
      </w:tr>
    </w:tbl>
    <w:p>
      <w:pPr>
        <w:pStyle w:val="Heading1"/>
      </w:pPr>
      <w:r>
        <w:t>7. Critical synthesis</w:t>
      </w:r>
    </w:p>
    <w:p>
      <w:r>
        <w:t>Domain evidence converges on a physically and operationally meaningful relationship among blast design, fragmentation, and downstream performance. However, the evidence base is heterogeneous: it includes simulations, reviews, site-specific observational analyses, and economic models. It does not yet establish that a hybrid online architecture is superior to simpler periodic retraining. The revised protocol therefore treats online learning as a conditional hypothesis rather than an assumed contribution.</w:t>
      </w:r>
    </w:p>
    <w:p>
      <w:r>
        <w:t>The six domain studies support the problem and context. The four methodological foundations support candidate mechanisms, but they do not constitute evidence that the integrated architecture will work in a mine. That claim must be established through target-specific temporal evaluation, leakage control, policy comparison, calibration, ablation, and reproducibility.</w:t>
      </w:r>
    </w:p>
    <w:p>
      <w:pPr>
        <w:pStyle w:val="Heading1"/>
      </w:pPr>
      <w:r>
        <w:t>8. Gap-analysis table</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cantSplit/>
        </w:trPr>
        <w:tc>
          <w:tcPr>
            <w:tcW w:type="dxa" w:w="1584"/>
            <w:vAlign w:val="center"/>
            <w:tcMar>
              <w:top w:w="70" w:type="dxa"/>
              <w:start w:w="70" w:type="dxa"/>
              <w:bottom w:w="70" w:type="dxa"/>
              <w:end w:w="70" w:type="dxa"/>
            </w:tcMar>
            <w:shd w:fill="17365D"/>
          </w:tcPr>
          <w:p>
            <w:pPr>
              <w:spacing w:after="0" w:before="0"/>
              <w:jc w:val="center"/>
            </w:pPr>
            <w:r/>
            <w:r>
              <w:rPr>
                <w:rFonts w:ascii="Aptos" w:hAnsi="Aptos"/>
                <w:b/>
                <w:color w:val="FFFFFF"/>
                <w:sz w:val="15"/>
              </w:rPr>
              <w:t>Gap type</w:t>
            </w:r>
          </w:p>
        </w:tc>
        <w:tc>
          <w:tcPr>
            <w:tcW w:type="dxa" w:w="3384"/>
            <w:vAlign w:val="center"/>
            <w:tcMar>
              <w:top w:w="70" w:type="dxa"/>
              <w:start w:w="70" w:type="dxa"/>
              <w:bottom w:w="70" w:type="dxa"/>
              <w:end w:w="70" w:type="dxa"/>
            </w:tcMar>
            <w:shd w:fill="17365D"/>
          </w:tcPr>
          <w:p>
            <w:pPr>
              <w:spacing w:after="0" w:before="0"/>
              <w:jc w:val="center"/>
            </w:pPr>
            <w:r/>
            <w:r>
              <w:rPr>
                <w:rFonts w:ascii="Aptos" w:hAnsi="Aptos"/>
                <w:b/>
                <w:color w:val="FFFFFF"/>
                <w:sz w:val="15"/>
              </w:rPr>
              <w:t>Evidence</w:t>
            </w:r>
          </w:p>
        </w:tc>
        <w:tc>
          <w:tcPr>
            <w:tcW w:type="dxa" w:w="3384"/>
            <w:vAlign w:val="center"/>
            <w:tcMar>
              <w:top w:w="70" w:type="dxa"/>
              <w:start w:w="70" w:type="dxa"/>
              <w:bottom w:w="70" w:type="dxa"/>
              <w:end w:w="70" w:type="dxa"/>
            </w:tcMar>
            <w:shd w:fill="17365D"/>
          </w:tcPr>
          <w:p>
            <w:pPr>
              <w:spacing w:after="0" w:before="0"/>
              <w:jc w:val="center"/>
            </w:pPr>
            <w:r/>
            <w:r>
              <w:rPr>
                <w:rFonts w:ascii="Aptos" w:hAnsi="Aptos"/>
                <w:b/>
                <w:color w:val="FFFFFF"/>
                <w:sz w:val="15"/>
              </w:rPr>
              <w:t>Candidate gap</w:t>
            </w:r>
          </w:p>
        </w:tc>
        <w:tc>
          <w:tcPr>
            <w:tcW w:type="dxa" w:w="3312"/>
            <w:vAlign w:val="center"/>
            <w:tcMar>
              <w:top w:w="70" w:type="dxa"/>
              <w:start w:w="70" w:type="dxa"/>
              <w:bottom w:w="70" w:type="dxa"/>
              <w:end w:w="70" w:type="dxa"/>
            </w:tcMar>
            <w:shd w:fill="17365D"/>
          </w:tcPr>
          <w:p>
            <w:pPr>
              <w:spacing w:after="0" w:before="0"/>
              <w:jc w:val="center"/>
            </w:pPr>
            <w:r/>
            <w:r>
              <w:rPr>
                <w:rFonts w:ascii="Aptos" w:hAnsi="Aptos"/>
                <w:b/>
                <w:color w:val="FFFFFF"/>
                <w:sz w:val="15"/>
              </w:rPr>
              <w:t>Protocol response</w:t>
            </w:r>
          </w:p>
        </w:tc>
      </w:tr>
      <w:tr>
        <w:trPr>
          <w:cantSplit/>
        </w:trPr>
        <w:tc>
          <w:tcPr>
            <w:tcW w:type="dxa" w:w="1584"/>
            <w:vAlign w:val="center"/>
            <w:tcMar>
              <w:top w:w="70" w:type="dxa"/>
              <w:start w:w="70" w:type="dxa"/>
              <w:bottom w:w="70" w:type="dxa"/>
              <w:end w:w="70" w:type="dxa"/>
            </w:tcMar>
          </w:tcPr>
          <w:p>
            <w:pPr>
              <w:spacing w:after="0" w:before="0"/>
              <w:jc w:val="left"/>
            </w:pPr>
            <w:r/>
            <w:r>
              <w:rPr>
                <w:rFonts w:ascii="Aptos" w:hAnsi="Aptos"/>
                <w:b w:val="0"/>
                <w:sz w:val="15"/>
              </w:rPr>
              <w:t>Knowledge</w:t>
            </w:r>
          </w:p>
        </w:tc>
        <w:tc>
          <w:tcPr>
            <w:tcW w:type="dxa" w:w="3384"/>
            <w:vAlign w:val="center"/>
            <w:tcMar>
              <w:top w:w="70" w:type="dxa"/>
              <w:start w:w="70" w:type="dxa"/>
              <w:bottom w:w="70" w:type="dxa"/>
              <w:end w:w="70" w:type="dxa"/>
            </w:tcMar>
          </w:tcPr>
          <w:p>
            <w:pPr>
              <w:spacing w:after="0" w:before="0"/>
              <w:jc w:val="left"/>
            </w:pPr>
            <w:r/>
            <w:r>
              <w:rPr>
                <w:rFonts w:ascii="Aptos" w:hAnsi="Aptos"/>
                <w:b w:val="0"/>
                <w:sz w:val="15"/>
              </w:rPr>
              <w:t>Domain studies link blast design to downstream performance, but do not quantify the incremental value of uncertainty, adaptation, and explanation together.</w:t>
            </w:r>
          </w:p>
        </w:tc>
        <w:tc>
          <w:tcPr>
            <w:tcW w:type="dxa" w:w="3384"/>
            <w:vAlign w:val="center"/>
            <w:tcMar>
              <w:top w:w="70" w:type="dxa"/>
              <w:start w:w="70" w:type="dxa"/>
              <w:bottom w:w="70" w:type="dxa"/>
              <w:end w:w="70" w:type="dxa"/>
            </w:tcMar>
          </w:tcPr>
          <w:p>
            <w:pPr>
              <w:spacing w:after="0" w:before="0"/>
              <w:jc w:val="left"/>
            </w:pPr>
            <w:r/>
            <w:r>
              <w:rPr>
                <w:rFonts w:ascii="Aptos" w:hAnsi="Aptos"/>
                <w:b w:val="0"/>
                <w:sz w:val="15"/>
              </w:rPr>
              <w:t>How much additional predictive and operational value does each artifact layer provide?</w:t>
            </w:r>
          </w:p>
        </w:tc>
        <w:tc>
          <w:tcPr>
            <w:tcW w:type="dxa" w:w="3312"/>
            <w:vAlign w:val="center"/>
            <w:tcMar>
              <w:top w:w="70" w:type="dxa"/>
              <w:start w:w="70" w:type="dxa"/>
              <w:bottom w:w="70" w:type="dxa"/>
              <w:end w:w="70" w:type="dxa"/>
            </w:tcMar>
          </w:tcPr>
          <w:p>
            <w:pPr>
              <w:spacing w:after="0" w:before="0"/>
              <w:jc w:val="left"/>
            </w:pPr>
            <w:r/>
            <w:r>
              <w:rPr>
                <w:rFonts w:ascii="Aptos" w:hAnsi="Aptos"/>
                <w:b w:val="0"/>
                <w:sz w:val="15"/>
              </w:rPr>
              <w:t>Use staged ablations and pre-specified acceptance thresholds.</w:t>
            </w:r>
          </w:p>
        </w:tc>
      </w:tr>
      <w:tr>
        <w:trPr>
          <w:cantSplit/>
        </w:trPr>
        <w:tc>
          <w:tcPr>
            <w:tcW w:type="dxa" w:w="1584"/>
            <w:vAlign w:val="center"/>
            <w:tcMar>
              <w:top w:w="70" w:type="dxa"/>
              <w:start w:w="70" w:type="dxa"/>
              <w:bottom w:w="70" w:type="dxa"/>
              <w:end w:w="70" w:type="dxa"/>
            </w:tcMar>
            <w:shd w:fill="FAFAFA"/>
          </w:tcPr>
          <w:p>
            <w:pPr>
              <w:spacing w:after="0" w:before="0"/>
              <w:jc w:val="left"/>
            </w:pPr>
            <w:r/>
            <w:r>
              <w:rPr>
                <w:rFonts w:ascii="Aptos" w:hAnsi="Aptos"/>
                <w:b w:val="0"/>
                <w:sz w:val="15"/>
              </w:rPr>
              <w:t>Methodological</w:t>
            </w:r>
          </w:p>
        </w:tc>
        <w:tc>
          <w:tcPr>
            <w:tcW w:type="dxa" w:w="3384"/>
            <w:vAlign w:val="center"/>
            <w:tcMar>
              <w:top w:w="70" w:type="dxa"/>
              <w:start w:w="70" w:type="dxa"/>
              <w:bottom w:w="70" w:type="dxa"/>
              <w:end w:w="70" w:type="dxa"/>
            </w:tcMar>
            <w:shd w:fill="FAFAFA"/>
          </w:tcPr>
          <w:p>
            <w:pPr>
              <w:spacing w:after="0" w:before="0"/>
              <w:jc w:val="left"/>
            </w:pPr>
            <w:r/>
            <w:r>
              <w:rPr>
                <w:rFonts w:ascii="Aptos" w:hAnsi="Aptos"/>
                <w:b w:val="0"/>
                <w:sz w:val="15"/>
              </w:rPr>
              <w:t>Most evidence is simulation-based, static, or site-specific; explicit temporal leakage controls and scheduled-vs-online policy comparisons are rare.</w:t>
            </w:r>
          </w:p>
        </w:tc>
        <w:tc>
          <w:tcPr>
            <w:tcW w:type="dxa" w:w="3384"/>
            <w:vAlign w:val="center"/>
            <w:tcMar>
              <w:top w:w="70" w:type="dxa"/>
              <w:start w:w="70" w:type="dxa"/>
              <w:bottom w:w="70" w:type="dxa"/>
              <w:end w:w="70" w:type="dxa"/>
            </w:tcMar>
            <w:shd w:fill="FAFAFA"/>
          </w:tcPr>
          <w:p>
            <w:pPr>
              <w:spacing w:after="0" w:before="0"/>
              <w:jc w:val="left"/>
            </w:pPr>
            <w:r/>
            <w:r>
              <w:rPr>
                <w:rFonts w:ascii="Aptos" w:hAnsi="Aptos"/>
                <w:b w:val="0"/>
                <w:sz w:val="15"/>
              </w:rPr>
              <w:t>Lack of locked temporal tests, prequential comparison, drift false-alarm analysis, and explanation stability.</w:t>
            </w:r>
          </w:p>
        </w:tc>
        <w:tc>
          <w:tcPr>
            <w:tcW w:type="dxa" w:w="3312"/>
            <w:vAlign w:val="center"/>
            <w:tcMar>
              <w:top w:w="70" w:type="dxa"/>
              <w:start w:w="70" w:type="dxa"/>
              <w:bottom w:w="70" w:type="dxa"/>
              <w:end w:w="70" w:type="dxa"/>
            </w:tcMar>
            <w:shd w:fill="FAFAFA"/>
          </w:tcPr>
          <w:p>
            <w:pPr>
              <w:spacing w:after="0" w:before="0"/>
              <w:jc w:val="left"/>
            </w:pPr>
            <w:r/>
            <w:r>
              <w:rPr>
                <w:rFonts w:ascii="Aptos" w:hAnsi="Aptos"/>
                <w:b w:val="0"/>
                <w:sz w:val="15"/>
              </w:rPr>
              <w:t>Use temporal/group splitting, static and scheduled baselines, conditional online evaluation, and versioned audit trails.</w:t>
            </w:r>
          </w:p>
        </w:tc>
      </w:tr>
      <w:tr>
        <w:trPr>
          <w:cantSplit/>
        </w:trPr>
        <w:tc>
          <w:tcPr>
            <w:tcW w:type="dxa" w:w="1584"/>
            <w:vAlign w:val="center"/>
            <w:tcMar>
              <w:top w:w="70" w:type="dxa"/>
              <w:start w:w="70" w:type="dxa"/>
              <w:bottom w:w="70" w:type="dxa"/>
              <w:end w:w="70" w:type="dxa"/>
            </w:tcMar>
          </w:tcPr>
          <w:p>
            <w:pPr>
              <w:spacing w:after="0" w:before="0"/>
              <w:jc w:val="left"/>
            </w:pPr>
            <w:r/>
            <w:r>
              <w:rPr>
                <w:rFonts w:ascii="Aptos" w:hAnsi="Aptos"/>
                <w:b w:val="0"/>
                <w:sz w:val="15"/>
              </w:rPr>
              <w:t>Contextual</w:t>
            </w:r>
          </w:p>
        </w:tc>
        <w:tc>
          <w:tcPr>
            <w:tcW w:type="dxa" w:w="3384"/>
            <w:vAlign w:val="center"/>
            <w:tcMar>
              <w:top w:w="70" w:type="dxa"/>
              <w:start w:w="70" w:type="dxa"/>
              <w:bottom w:w="70" w:type="dxa"/>
              <w:end w:w="70" w:type="dxa"/>
            </w:tcMar>
          </w:tcPr>
          <w:p>
            <w:pPr>
              <w:spacing w:after="0" w:before="0"/>
              <w:jc w:val="left"/>
            </w:pPr>
            <w:r/>
            <w:r>
              <w:rPr>
                <w:rFonts w:ascii="Aptos" w:hAnsi="Aptos"/>
                <w:b w:val="0"/>
                <w:sz w:val="15"/>
              </w:rPr>
              <w:t>Brazilian, Iranian, Congolese, and broader international cases are represented; no equivalent integrated Peruvian copper case was identified in the pilot set.</w:t>
            </w:r>
          </w:p>
        </w:tc>
        <w:tc>
          <w:tcPr>
            <w:tcW w:type="dxa" w:w="3384"/>
            <w:vAlign w:val="center"/>
            <w:tcMar>
              <w:top w:w="70" w:type="dxa"/>
              <w:start w:w="70" w:type="dxa"/>
              <w:bottom w:w="70" w:type="dxa"/>
              <w:end w:w="70" w:type="dxa"/>
            </w:tcMar>
          </w:tcPr>
          <w:p>
            <w:pPr>
              <w:spacing w:after="0" w:before="0"/>
              <w:jc w:val="left"/>
            </w:pPr>
            <w:r/>
            <w:r>
              <w:rPr>
                <w:rFonts w:ascii="Aptos" w:hAnsi="Aptos"/>
                <w:b w:val="0"/>
                <w:sz w:val="15"/>
              </w:rPr>
              <w:t>Insufficient evidence under Peruvian operating, governance, and geological conditions.</w:t>
            </w:r>
          </w:p>
        </w:tc>
        <w:tc>
          <w:tcPr>
            <w:tcW w:type="dxa" w:w="3312"/>
            <w:vAlign w:val="center"/>
            <w:tcMar>
              <w:top w:w="70" w:type="dxa"/>
              <w:start w:w="70" w:type="dxa"/>
              <w:bottom w:w="70" w:type="dxa"/>
              <w:end w:w="70" w:type="dxa"/>
            </w:tcMar>
          </w:tcPr>
          <w:p>
            <w:pPr>
              <w:spacing w:after="0" w:before="0"/>
              <w:jc w:val="left"/>
            </w:pPr>
            <w:r/>
            <w:r>
              <w:rPr>
                <w:rFonts w:ascii="Aptos" w:hAnsi="Aptos"/>
                <w:b w:val="0"/>
                <w:sz w:val="15"/>
              </w:rPr>
              <w:t>Validate in a Peruvian case and report transfer limits.</w:t>
            </w:r>
          </w:p>
        </w:tc>
      </w:tr>
      <w:tr>
        <w:trPr>
          <w:cantSplit/>
        </w:trPr>
        <w:tc>
          <w:tcPr>
            <w:tcW w:type="dxa" w:w="1584"/>
            <w:vAlign w:val="center"/>
            <w:tcMar>
              <w:top w:w="70" w:type="dxa"/>
              <w:start w:w="70" w:type="dxa"/>
              <w:bottom w:w="70" w:type="dxa"/>
              <w:end w:w="70" w:type="dxa"/>
            </w:tcMar>
            <w:shd w:fill="FAFAFA"/>
          </w:tcPr>
          <w:p>
            <w:pPr>
              <w:spacing w:after="0" w:before="0"/>
              <w:jc w:val="left"/>
            </w:pPr>
            <w:r/>
            <w:r>
              <w:rPr>
                <w:rFonts w:ascii="Aptos" w:hAnsi="Aptos"/>
                <w:b w:val="0"/>
                <w:sz w:val="15"/>
              </w:rPr>
              <w:t>Theoretical/design</w:t>
            </w:r>
          </w:p>
        </w:tc>
        <w:tc>
          <w:tcPr>
            <w:tcW w:type="dxa" w:w="3384"/>
            <w:vAlign w:val="center"/>
            <w:tcMar>
              <w:top w:w="70" w:type="dxa"/>
              <w:start w:w="70" w:type="dxa"/>
              <w:bottom w:w="70" w:type="dxa"/>
              <w:end w:w="70" w:type="dxa"/>
            </w:tcMar>
            <w:shd w:fill="FAFAFA"/>
          </w:tcPr>
          <w:p>
            <w:pPr>
              <w:spacing w:after="0" w:before="0"/>
              <w:jc w:val="left"/>
            </w:pPr>
            <w:r/>
            <w:r>
              <w:rPr>
                <w:rFonts w:ascii="Aptos" w:hAnsi="Aptos"/>
                <w:b w:val="0"/>
                <w:sz w:val="15"/>
              </w:rPr>
              <w:t>Mine-to-Mill explains physical integration; DSR explains artifact construction; stream-learning papers explain adaptation.</w:t>
            </w:r>
          </w:p>
        </w:tc>
        <w:tc>
          <w:tcPr>
            <w:tcW w:type="dxa" w:w="3384"/>
            <w:vAlign w:val="center"/>
            <w:tcMar>
              <w:top w:w="70" w:type="dxa"/>
              <w:start w:w="70" w:type="dxa"/>
              <w:bottom w:w="70" w:type="dxa"/>
              <w:end w:w="70" w:type="dxa"/>
            </w:tcMar>
            <w:shd w:fill="FAFAFA"/>
          </w:tcPr>
          <w:p>
            <w:pPr>
              <w:spacing w:after="0" w:before="0"/>
              <w:jc w:val="left"/>
            </w:pPr>
            <w:r/>
            <w:r>
              <w:rPr>
                <w:rFonts w:ascii="Aptos" w:hAnsi="Aptos"/>
                <w:b w:val="0"/>
                <w:sz w:val="15"/>
              </w:rPr>
              <w:t>No unified set of design principles links physical traceability, uncertainty, update policy, and explanation governance.</w:t>
            </w:r>
          </w:p>
        </w:tc>
        <w:tc>
          <w:tcPr>
            <w:tcW w:type="dxa" w:w="3312"/>
            <w:vAlign w:val="center"/>
            <w:tcMar>
              <w:top w:w="70" w:type="dxa"/>
              <w:start w:w="70" w:type="dxa"/>
              <w:bottom w:w="70" w:type="dxa"/>
              <w:end w:w="70" w:type="dxa"/>
            </w:tcMar>
            <w:shd w:fill="FAFAFA"/>
          </w:tcPr>
          <w:p>
            <w:pPr>
              <w:spacing w:after="0" w:before="0"/>
              <w:jc w:val="left"/>
            </w:pPr>
            <w:r/>
            <w:r>
              <w:rPr>
                <w:rFonts w:ascii="Aptos" w:hAnsi="Aptos"/>
                <w:b w:val="0"/>
                <w:sz w:val="15"/>
              </w:rPr>
              <w:t>Derive and evaluate transferable design principles rather than claiming novelty from software combination alone.</w:t>
            </w:r>
          </w:p>
        </w:tc>
      </w:tr>
    </w:tbl>
    <w:p>
      <w:pPr>
        <w:pStyle w:val="Heading1"/>
      </w:pPr>
      <w:r>
        <w:t>9. Conclusion</w:t>
      </w:r>
    </w:p>
    <w:p>
      <w:r>
        <w:t>The review supports the scientific relevance of blast-to-crusher energy prediction and the use of data-driven methods, but it also narrows the claim. The doctoral contribution should not be “CatBoost + River + SHAP” as a software bundle. It should be an evidence-based design for traceable, uncertainty-aware, update-governed, and explainable mine-to-plant prediction. The final choice between online and periodic updating must be determined by the actual data inventory and comparative results.</w:t>
      </w:r>
    </w:p>
    <w:p>
      <w:pPr>
        <w:pStyle w:val="Heading1"/>
      </w:pPr>
      <w:r>
        <w:t>10. Reference-verification log</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cantSplit/>
        </w:trPr>
        <w:tc>
          <w:tcPr>
            <w:tcW w:type="dxa" w:w="3168"/>
            <w:vAlign w:val="center"/>
            <w:tcMar>
              <w:top w:w="70" w:type="dxa"/>
              <w:start w:w="70" w:type="dxa"/>
              <w:bottom w:w="70" w:type="dxa"/>
              <w:end w:w="70" w:type="dxa"/>
            </w:tcMar>
            <w:shd w:fill="17365D"/>
          </w:tcPr>
          <w:p>
            <w:pPr>
              <w:spacing w:after="0" w:before="0"/>
              <w:jc w:val="center"/>
            </w:pPr>
            <w:r/>
            <w:r>
              <w:rPr>
                <w:rFonts w:ascii="Aptos" w:hAnsi="Aptos"/>
                <w:b/>
                <w:color w:val="FFFFFF"/>
                <w:sz w:val="15"/>
              </w:rPr>
              <w:t>Reference</w:t>
            </w:r>
          </w:p>
        </w:tc>
        <w:tc>
          <w:tcPr>
            <w:tcW w:type="dxa" w:w="3600"/>
            <w:vAlign w:val="center"/>
            <w:tcMar>
              <w:top w:w="70" w:type="dxa"/>
              <w:start w:w="70" w:type="dxa"/>
              <w:bottom w:w="70" w:type="dxa"/>
              <w:end w:w="70" w:type="dxa"/>
            </w:tcMar>
            <w:shd w:fill="17365D"/>
          </w:tcPr>
          <w:p>
            <w:pPr>
              <w:spacing w:after="0" w:before="0"/>
              <w:jc w:val="center"/>
            </w:pPr>
            <w:r/>
            <w:r>
              <w:rPr>
                <w:rFonts w:ascii="Aptos" w:hAnsi="Aptos"/>
                <w:b/>
                <w:color w:val="FFFFFF"/>
                <w:sz w:val="15"/>
              </w:rPr>
              <w:t>Publisher record</w:t>
            </w:r>
          </w:p>
        </w:tc>
        <w:tc>
          <w:tcPr>
            <w:tcW w:type="dxa" w:w="3168"/>
            <w:vAlign w:val="center"/>
            <w:tcMar>
              <w:top w:w="70" w:type="dxa"/>
              <w:start w:w="70" w:type="dxa"/>
              <w:bottom w:w="70" w:type="dxa"/>
              <w:end w:w="70" w:type="dxa"/>
            </w:tcMar>
            <w:shd w:fill="17365D"/>
          </w:tcPr>
          <w:p>
            <w:pPr>
              <w:spacing w:after="0" w:before="0"/>
              <w:jc w:val="center"/>
            </w:pPr>
            <w:r/>
            <w:r>
              <w:rPr>
                <w:rFonts w:ascii="Aptos" w:hAnsi="Aptos"/>
                <w:b/>
                <w:color w:val="FFFFFF"/>
                <w:sz w:val="15"/>
              </w:rPr>
              <w:t>DOI/record</w:t>
            </w:r>
          </w:p>
        </w:tc>
        <w:tc>
          <w:tcPr>
            <w:tcW w:type="dxa" w:w="1152"/>
            <w:vAlign w:val="center"/>
            <w:tcMar>
              <w:top w:w="70" w:type="dxa"/>
              <w:start w:w="70" w:type="dxa"/>
              <w:bottom w:w="70" w:type="dxa"/>
              <w:end w:w="70" w:type="dxa"/>
            </w:tcMar>
            <w:shd w:fill="17365D"/>
          </w:tcPr>
          <w:p>
            <w:pPr>
              <w:spacing w:after="0" w:before="0"/>
              <w:jc w:val="center"/>
            </w:pPr>
            <w:r/>
            <w:r>
              <w:rPr>
                <w:rFonts w:ascii="Aptos" w:hAnsi="Aptos"/>
                <w:b/>
                <w:color w:val="FFFFFF"/>
                <w:sz w:val="15"/>
              </w:rPr>
              <w:t>Status</w:t>
            </w:r>
          </w:p>
        </w:tc>
      </w:tr>
      <w:tr>
        <w:trPr>
          <w:cantSplit/>
        </w:trPr>
        <w:tc>
          <w:tcPr>
            <w:tcW w:type="dxa" w:w="3168"/>
            <w:vAlign w:val="center"/>
            <w:tcMar>
              <w:top w:w="70" w:type="dxa"/>
              <w:start w:w="70" w:type="dxa"/>
              <w:bottom w:w="70" w:type="dxa"/>
              <w:end w:w="70" w:type="dxa"/>
            </w:tcMar>
          </w:tcPr>
          <w:p>
            <w:pPr>
              <w:spacing w:after="0" w:before="0"/>
              <w:jc w:val="left"/>
            </w:pPr>
            <w:r/>
            <w:r>
              <w:rPr>
                <w:rFonts w:ascii="Aptos" w:hAnsi="Aptos"/>
                <w:b w:val="0"/>
                <w:sz w:val="15"/>
              </w:rPr>
              <w:t>Lastra et al. (2021)</w:t>
            </w:r>
          </w:p>
        </w:tc>
        <w:tc>
          <w:tcPr>
            <w:tcW w:type="dxa" w:w="3600"/>
            <w:vAlign w:val="center"/>
            <w:tcMar>
              <w:top w:w="70" w:type="dxa"/>
              <w:start w:w="70" w:type="dxa"/>
              <w:bottom w:w="70" w:type="dxa"/>
              <w:end w:w="70" w:type="dxa"/>
            </w:tcMar>
          </w:tcPr>
          <w:p>
            <w:pPr>
              <w:spacing w:after="0" w:before="0"/>
              <w:jc w:val="left"/>
            </w:pPr>
            <w:r/>
            <w:r>
              <w:rPr>
                <w:rFonts w:ascii="Aptos" w:hAnsi="Aptos"/>
                <w:b w:val="0"/>
                <w:sz w:val="15"/>
              </w:rPr>
              <w:t>Minerals Engineering 170, 107001</w:t>
            </w:r>
          </w:p>
        </w:tc>
        <w:tc>
          <w:tcPr>
            <w:tcW w:type="dxa" w:w="3168"/>
            <w:vAlign w:val="center"/>
            <w:tcMar>
              <w:top w:w="70" w:type="dxa"/>
              <w:start w:w="70" w:type="dxa"/>
              <w:bottom w:w="70" w:type="dxa"/>
              <w:end w:w="70" w:type="dxa"/>
            </w:tcMar>
          </w:tcPr>
          <w:p>
            <w:pPr>
              <w:spacing w:after="0" w:before="0"/>
              <w:jc w:val="left"/>
            </w:pPr>
            <w:r/>
            <w:r>
              <w:rPr>
                <w:rFonts w:ascii="Aptos" w:hAnsi="Aptos"/>
                <w:b w:val="0"/>
                <w:sz w:val="15"/>
              </w:rPr>
              <w:t>10.1016/j.mineng.2021.107001</w:t>
            </w:r>
          </w:p>
        </w:tc>
        <w:tc>
          <w:tcPr>
            <w:tcW w:type="dxa" w:w="1152"/>
            <w:vAlign w:val="center"/>
            <w:tcMar>
              <w:top w:w="70" w:type="dxa"/>
              <w:start w:w="70" w:type="dxa"/>
              <w:bottom w:w="70" w:type="dxa"/>
              <w:end w:w="70" w:type="dxa"/>
            </w:tcMar>
          </w:tcPr>
          <w:p>
            <w:pPr>
              <w:spacing w:after="0" w:before="0"/>
              <w:jc w:val="left"/>
            </w:pPr>
            <w:r/>
            <w:r>
              <w:rPr>
                <w:rFonts w:ascii="Aptos" w:hAnsi="Aptos"/>
                <w:b w:val="0"/>
                <w:sz w:val="15"/>
              </w:rPr>
              <w:t>Verified</w:t>
            </w:r>
          </w:p>
        </w:tc>
      </w:tr>
      <w:tr>
        <w:trPr>
          <w:cantSplit/>
        </w:trPr>
        <w:tc>
          <w:tcPr>
            <w:tcW w:type="dxa" w:w="3168"/>
            <w:vAlign w:val="center"/>
            <w:tcMar>
              <w:top w:w="70" w:type="dxa"/>
              <w:start w:w="70" w:type="dxa"/>
              <w:bottom w:w="70" w:type="dxa"/>
              <w:end w:w="70" w:type="dxa"/>
            </w:tcMar>
            <w:shd w:fill="FAFAFA"/>
          </w:tcPr>
          <w:p>
            <w:pPr>
              <w:spacing w:after="0" w:before="0"/>
              <w:jc w:val="left"/>
            </w:pPr>
            <w:r/>
            <w:r>
              <w:rPr>
                <w:rFonts w:ascii="Aptos" w:hAnsi="Aptos"/>
                <w:b w:val="0"/>
                <w:sz w:val="15"/>
              </w:rPr>
              <w:t>Nikkhah et al. (2022)</w:t>
            </w:r>
          </w:p>
        </w:tc>
        <w:tc>
          <w:tcPr>
            <w:tcW w:type="dxa" w:w="3600"/>
            <w:vAlign w:val="center"/>
            <w:tcMar>
              <w:top w:w="70" w:type="dxa"/>
              <w:start w:w="70" w:type="dxa"/>
              <w:bottom w:w="70" w:type="dxa"/>
              <w:end w:w="70" w:type="dxa"/>
            </w:tcMar>
            <w:shd w:fill="FAFAFA"/>
          </w:tcPr>
          <w:p>
            <w:pPr>
              <w:spacing w:after="0" w:before="0"/>
              <w:jc w:val="left"/>
            </w:pPr>
            <w:r/>
            <w:r>
              <w:rPr>
                <w:rFonts w:ascii="Aptos" w:hAnsi="Aptos"/>
                <w:b w:val="0"/>
                <w:sz w:val="15"/>
              </w:rPr>
              <w:t>Minerals 12(2), 258</w:t>
            </w:r>
          </w:p>
        </w:tc>
        <w:tc>
          <w:tcPr>
            <w:tcW w:type="dxa" w:w="3168"/>
            <w:vAlign w:val="center"/>
            <w:tcMar>
              <w:top w:w="70" w:type="dxa"/>
              <w:start w:w="70" w:type="dxa"/>
              <w:bottom w:w="70" w:type="dxa"/>
              <w:end w:w="70" w:type="dxa"/>
            </w:tcMar>
            <w:shd w:fill="FAFAFA"/>
          </w:tcPr>
          <w:p>
            <w:pPr>
              <w:spacing w:after="0" w:before="0"/>
              <w:jc w:val="left"/>
            </w:pPr>
            <w:r/>
            <w:r>
              <w:rPr>
                <w:rFonts w:ascii="Aptos" w:hAnsi="Aptos"/>
                <w:b w:val="0"/>
                <w:sz w:val="15"/>
              </w:rPr>
              <w:t>10.3390/min12020258</w:t>
            </w:r>
          </w:p>
        </w:tc>
        <w:tc>
          <w:tcPr>
            <w:tcW w:type="dxa" w:w="1152"/>
            <w:vAlign w:val="center"/>
            <w:tcMar>
              <w:top w:w="70" w:type="dxa"/>
              <w:start w:w="70" w:type="dxa"/>
              <w:bottom w:w="70" w:type="dxa"/>
              <w:end w:w="70" w:type="dxa"/>
            </w:tcMar>
            <w:shd w:fill="FAFAFA"/>
          </w:tcPr>
          <w:p>
            <w:pPr>
              <w:spacing w:after="0" w:before="0"/>
              <w:jc w:val="left"/>
            </w:pPr>
            <w:r/>
            <w:r>
              <w:rPr>
                <w:rFonts w:ascii="Aptos" w:hAnsi="Aptos"/>
                <w:b w:val="0"/>
                <w:sz w:val="15"/>
              </w:rPr>
              <w:t>Verified</w:t>
            </w:r>
          </w:p>
        </w:tc>
      </w:tr>
      <w:tr>
        <w:trPr>
          <w:cantSplit/>
        </w:trPr>
        <w:tc>
          <w:tcPr>
            <w:tcW w:type="dxa" w:w="3168"/>
            <w:vAlign w:val="center"/>
            <w:tcMar>
              <w:top w:w="70" w:type="dxa"/>
              <w:start w:w="70" w:type="dxa"/>
              <w:bottom w:w="70" w:type="dxa"/>
              <w:end w:w="70" w:type="dxa"/>
            </w:tcMar>
          </w:tcPr>
          <w:p>
            <w:pPr>
              <w:spacing w:after="0" w:before="0"/>
              <w:jc w:val="left"/>
            </w:pPr>
            <w:r/>
            <w:r>
              <w:rPr>
                <w:rFonts w:ascii="Aptos" w:hAnsi="Aptos"/>
                <w:b w:val="0"/>
                <w:sz w:val="15"/>
              </w:rPr>
              <w:t>Yamashita et al. (2021)</w:t>
            </w:r>
          </w:p>
        </w:tc>
        <w:tc>
          <w:tcPr>
            <w:tcW w:type="dxa" w:w="3600"/>
            <w:vAlign w:val="center"/>
            <w:tcMar>
              <w:top w:w="70" w:type="dxa"/>
              <w:start w:w="70" w:type="dxa"/>
              <w:bottom w:w="70" w:type="dxa"/>
              <w:end w:w="70" w:type="dxa"/>
            </w:tcMar>
          </w:tcPr>
          <w:p>
            <w:pPr>
              <w:spacing w:after="0" w:before="0"/>
              <w:jc w:val="left"/>
            </w:pPr>
            <w:r/>
            <w:r>
              <w:rPr>
                <w:rFonts w:ascii="Aptos" w:hAnsi="Aptos"/>
                <w:b w:val="0"/>
                <w:sz w:val="15"/>
              </w:rPr>
              <w:t>Minerals Engineering 170, 107036</w:t>
            </w:r>
          </w:p>
        </w:tc>
        <w:tc>
          <w:tcPr>
            <w:tcW w:type="dxa" w:w="3168"/>
            <w:vAlign w:val="center"/>
            <w:tcMar>
              <w:top w:w="70" w:type="dxa"/>
              <w:start w:w="70" w:type="dxa"/>
              <w:bottom w:w="70" w:type="dxa"/>
              <w:end w:w="70" w:type="dxa"/>
            </w:tcMar>
          </w:tcPr>
          <w:p>
            <w:pPr>
              <w:spacing w:after="0" w:before="0"/>
              <w:jc w:val="left"/>
            </w:pPr>
            <w:r/>
            <w:r>
              <w:rPr>
                <w:rFonts w:ascii="Aptos" w:hAnsi="Aptos"/>
                <w:b w:val="0"/>
                <w:sz w:val="15"/>
              </w:rPr>
              <w:t>10.1016/j.mineng.2021.107036</w:t>
            </w:r>
          </w:p>
        </w:tc>
        <w:tc>
          <w:tcPr>
            <w:tcW w:type="dxa" w:w="1152"/>
            <w:vAlign w:val="center"/>
            <w:tcMar>
              <w:top w:w="70" w:type="dxa"/>
              <w:start w:w="70" w:type="dxa"/>
              <w:bottom w:w="70" w:type="dxa"/>
              <w:end w:w="70" w:type="dxa"/>
            </w:tcMar>
          </w:tcPr>
          <w:p>
            <w:pPr>
              <w:spacing w:after="0" w:before="0"/>
              <w:jc w:val="left"/>
            </w:pPr>
            <w:r/>
            <w:r>
              <w:rPr>
                <w:rFonts w:ascii="Aptos" w:hAnsi="Aptos"/>
                <w:b w:val="0"/>
                <w:sz w:val="15"/>
              </w:rPr>
              <w:t>Verified</w:t>
            </w:r>
          </w:p>
        </w:tc>
      </w:tr>
      <w:tr>
        <w:trPr>
          <w:cantSplit/>
        </w:trPr>
        <w:tc>
          <w:tcPr>
            <w:tcW w:type="dxa" w:w="3168"/>
            <w:vAlign w:val="center"/>
            <w:tcMar>
              <w:top w:w="70" w:type="dxa"/>
              <w:start w:w="70" w:type="dxa"/>
              <w:bottom w:w="70" w:type="dxa"/>
              <w:end w:w="70" w:type="dxa"/>
            </w:tcMar>
            <w:shd w:fill="FAFAFA"/>
          </w:tcPr>
          <w:p>
            <w:pPr>
              <w:spacing w:after="0" w:before="0"/>
              <w:jc w:val="left"/>
            </w:pPr>
            <w:r/>
            <w:r>
              <w:rPr>
                <w:rFonts w:ascii="Aptos" w:hAnsi="Aptos"/>
                <w:b w:val="0"/>
                <w:sz w:val="15"/>
              </w:rPr>
              <w:t>Navarro Torres et al. (2024)</w:t>
            </w:r>
          </w:p>
        </w:tc>
        <w:tc>
          <w:tcPr>
            <w:tcW w:type="dxa" w:w="3600"/>
            <w:vAlign w:val="center"/>
            <w:tcMar>
              <w:top w:w="70" w:type="dxa"/>
              <w:start w:w="70" w:type="dxa"/>
              <w:bottom w:w="70" w:type="dxa"/>
              <w:end w:w="70" w:type="dxa"/>
            </w:tcMar>
            <w:shd w:fill="FAFAFA"/>
          </w:tcPr>
          <w:p>
            <w:pPr>
              <w:spacing w:after="0" w:before="0"/>
              <w:jc w:val="left"/>
            </w:pPr>
            <w:r/>
            <w:r>
              <w:rPr>
                <w:rFonts w:ascii="Aptos" w:hAnsi="Aptos"/>
                <w:b w:val="0"/>
                <w:sz w:val="15"/>
              </w:rPr>
              <w:t>Mining 4(4), 983-993</w:t>
            </w:r>
          </w:p>
        </w:tc>
        <w:tc>
          <w:tcPr>
            <w:tcW w:type="dxa" w:w="3168"/>
            <w:vAlign w:val="center"/>
            <w:tcMar>
              <w:top w:w="70" w:type="dxa"/>
              <w:start w:w="70" w:type="dxa"/>
              <w:bottom w:w="70" w:type="dxa"/>
              <w:end w:w="70" w:type="dxa"/>
            </w:tcMar>
            <w:shd w:fill="FAFAFA"/>
          </w:tcPr>
          <w:p>
            <w:pPr>
              <w:spacing w:after="0" w:before="0"/>
              <w:jc w:val="left"/>
            </w:pPr>
            <w:r/>
            <w:r>
              <w:rPr>
                <w:rFonts w:ascii="Aptos" w:hAnsi="Aptos"/>
                <w:b w:val="0"/>
                <w:sz w:val="15"/>
              </w:rPr>
              <w:t>10.3390/mining4040055</w:t>
            </w:r>
          </w:p>
        </w:tc>
        <w:tc>
          <w:tcPr>
            <w:tcW w:type="dxa" w:w="1152"/>
            <w:vAlign w:val="center"/>
            <w:tcMar>
              <w:top w:w="70" w:type="dxa"/>
              <w:start w:w="70" w:type="dxa"/>
              <w:bottom w:w="70" w:type="dxa"/>
              <w:end w:w="70" w:type="dxa"/>
            </w:tcMar>
            <w:shd w:fill="FAFAFA"/>
          </w:tcPr>
          <w:p>
            <w:pPr>
              <w:spacing w:after="0" w:before="0"/>
              <w:jc w:val="left"/>
            </w:pPr>
            <w:r/>
            <w:r>
              <w:rPr>
                <w:rFonts w:ascii="Aptos" w:hAnsi="Aptos"/>
                <w:b w:val="0"/>
                <w:sz w:val="15"/>
              </w:rPr>
              <w:t>Verified</w:t>
            </w:r>
          </w:p>
        </w:tc>
      </w:tr>
      <w:tr>
        <w:trPr>
          <w:cantSplit/>
        </w:trPr>
        <w:tc>
          <w:tcPr>
            <w:tcW w:type="dxa" w:w="3168"/>
            <w:vAlign w:val="center"/>
            <w:tcMar>
              <w:top w:w="70" w:type="dxa"/>
              <w:start w:w="70" w:type="dxa"/>
              <w:bottom w:w="70" w:type="dxa"/>
              <w:end w:w="70" w:type="dxa"/>
            </w:tcMar>
          </w:tcPr>
          <w:p>
            <w:pPr>
              <w:spacing w:after="0" w:before="0"/>
              <w:jc w:val="left"/>
            </w:pPr>
            <w:r/>
            <w:r>
              <w:rPr>
                <w:rFonts w:ascii="Aptos" w:hAnsi="Aptos"/>
                <w:b w:val="0"/>
                <w:sz w:val="15"/>
              </w:rPr>
              <w:t>Saldana et al. (2024)</w:t>
            </w:r>
          </w:p>
        </w:tc>
        <w:tc>
          <w:tcPr>
            <w:tcW w:type="dxa" w:w="3600"/>
            <w:vAlign w:val="center"/>
            <w:tcMar>
              <w:top w:w="70" w:type="dxa"/>
              <w:start w:w="70" w:type="dxa"/>
              <w:bottom w:w="70" w:type="dxa"/>
              <w:end w:w="70" w:type="dxa"/>
            </w:tcMar>
          </w:tcPr>
          <w:p>
            <w:pPr>
              <w:spacing w:after="0" w:before="0"/>
              <w:jc w:val="left"/>
            </w:pPr>
            <w:r/>
            <w:r>
              <w:rPr>
                <w:rFonts w:ascii="Aptos" w:hAnsi="Aptos"/>
                <w:b w:val="0"/>
                <w:sz w:val="15"/>
              </w:rPr>
              <w:t>Minerals 14(11), 1162</w:t>
            </w:r>
          </w:p>
        </w:tc>
        <w:tc>
          <w:tcPr>
            <w:tcW w:type="dxa" w:w="3168"/>
            <w:vAlign w:val="center"/>
            <w:tcMar>
              <w:top w:w="70" w:type="dxa"/>
              <w:start w:w="70" w:type="dxa"/>
              <w:bottom w:w="70" w:type="dxa"/>
              <w:end w:w="70" w:type="dxa"/>
            </w:tcMar>
          </w:tcPr>
          <w:p>
            <w:pPr>
              <w:spacing w:after="0" w:before="0"/>
              <w:jc w:val="left"/>
            </w:pPr>
            <w:r/>
            <w:r>
              <w:rPr>
                <w:rFonts w:ascii="Aptos" w:hAnsi="Aptos"/>
                <w:b w:val="0"/>
                <w:sz w:val="15"/>
              </w:rPr>
              <w:t>10.3390/min14111162</w:t>
            </w:r>
          </w:p>
        </w:tc>
        <w:tc>
          <w:tcPr>
            <w:tcW w:type="dxa" w:w="1152"/>
            <w:vAlign w:val="center"/>
            <w:tcMar>
              <w:top w:w="70" w:type="dxa"/>
              <w:start w:w="70" w:type="dxa"/>
              <w:bottom w:w="70" w:type="dxa"/>
              <w:end w:w="70" w:type="dxa"/>
            </w:tcMar>
          </w:tcPr>
          <w:p>
            <w:pPr>
              <w:spacing w:after="0" w:before="0"/>
              <w:jc w:val="left"/>
            </w:pPr>
            <w:r/>
            <w:r>
              <w:rPr>
                <w:rFonts w:ascii="Aptos" w:hAnsi="Aptos"/>
                <w:b w:val="0"/>
                <w:sz w:val="15"/>
              </w:rPr>
              <w:t>Verified</w:t>
            </w:r>
          </w:p>
        </w:tc>
      </w:tr>
      <w:tr>
        <w:trPr>
          <w:cantSplit/>
        </w:trPr>
        <w:tc>
          <w:tcPr>
            <w:tcW w:type="dxa" w:w="3168"/>
            <w:vAlign w:val="center"/>
            <w:tcMar>
              <w:top w:w="70" w:type="dxa"/>
              <w:start w:w="70" w:type="dxa"/>
              <w:bottom w:w="70" w:type="dxa"/>
              <w:end w:w="70" w:type="dxa"/>
            </w:tcMar>
            <w:shd w:fill="FAFAFA"/>
          </w:tcPr>
          <w:p>
            <w:pPr>
              <w:spacing w:after="0" w:before="0"/>
              <w:jc w:val="left"/>
            </w:pPr>
            <w:r/>
            <w:r>
              <w:rPr>
                <w:rFonts w:ascii="Aptos" w:hAnsi="Aptos"/>
                <w:b w:val="0"/>
                <w:sz w:val="15"/>
              </w:rPr>
              <w:t>Losaladjome Mboyo et al. (2024)</w:t>
            </w:r>
          </w:p>
        </w:tc>
        <w:tc>
          <w:tcPr>
            <w:tcW w:type="dxa" w:w="3600"/>
            <w:vAlign w:val="center"/>
            <w:tcMar>
              <w:top w:w="70" w:type="dxa"/>
              <w:start w:w="70" w:type="dxa"/>
              <w:bottom w:w="70" w:type="dxa"/>
              <w:end w:w="70" w:type="dxa"/>
            </w:tcMar>
            <w:shd w:fill="FAFAFA"/>
          </w:tcPr>
          <w:p>
            <w:pPr>
              <w:spacing w:after="0" w:before="0"/>
              <w:jc w:val="left"/>
            </w:pPr>
            <w:r/>
            <w:r>
              <w:rPr>
                <w:rFonts w:ascii="Aptos" w:hAnsi="Aptos"/>
                <w:b w:val="0"/>
                <w:sz w:val="15"/>
              </w:rPr>
              <w:t>Minerals 14(12), 1226</w:t>
            </w:r>
          </w:p>
        </w:tc>
        <w:tc>
          <w:tcPr>
            <w:tcW w:type="dxa" w:w="3168"/>
            <w:vAlign w:val="center"/>
            <w:tcMar>
              <w:top w:w="70" w:type="dxa"/>
              <w:start w:w="70" w:type="dxa"/>
              <w:bottom w:w="70" w:type="dxa"/>
              <w:end w:w="70" w:type="dxa"/>
            </w:tcMar>
            <w:shd w:fill="FAFAFA"/>
          </w:tcPr>
          <w:p>
            <w:pPr>
              <w:spacing w:after="0" w:before="0"/>
              <w:jc w:val="left"/>
            </w:pPr>
            <w:r/>
            <w:r>
              <w:rPr>
                <w:rFonts w:ascii="Aptos" w:hAnsi="Aptos"/>
                <w:b w:val="0"/>
                <w:sz w:val="15"/>
              </w:rPr>
              <w:t>10.3390/min14121226</w:t>
            </w:r>
          </w:p>
        </w:tc>
        <w:tc>
          <w:tcPr>
            <w:tcW w:type="dxa" w:w="1152"/>
            <w:vAlign w:val="center"/>
            <w:tcMar>
              <w:top w:w="70" w:type="dxa"/>
              <w:start w:w="70" w:type="dxa"/>
              <w:bottom w:w="70" w:type="dxa"/>
              <w:end w:w="70" w:type="dxa"/>
            </w:tcMar>
            <w:shd w:fill="FAFAFA"/>
          </w:tcPr>
          <w:p>
            <w:pPr>
              <w:spacing w:after="0" w:before="0"/>
              <w:jc w:val="left"/>
            </w:pPr>
            <w:r/>
            <w:r>
              <w:rPr>
                <w:rFonts w:ascii="Aptos" w:hAnsi="Aptos"/>
                <w:b w:val="0"/>
                <w:sz w:val="15"/>
              </w:rPr>
              <w:t>Verified</w:t>
            </w:r>
          </w:p>
        </w:tc>
      </w:tr>
      <w:tr>
        <w:trPr>
          <w:cantSplit/>
        </w:trPr>
        <w:tc>
          <w:tcPr>
            <w:tcW w:type="dxa" w:w="3168"/>
            <w:vAlign w:val="center"/>
            <w:tcMar>
              <w:top w:w="70" w:type="dxa"/>
              <w:start w:w="70" w:type="dxa"/>
              <w:bottom w:w="70" w:type="dxa"/>
              <w:end w:w="70" w:type="dxa"/>
            </w:tcMar>
          </w:tcPr>
          <w:p>
            <w:pPr>
              <w:spacing w:after="0" w:before="0"/>
              <w:jc w:val="left"/>
            </w:pPr>
            <w:r/>
            <w:r>
              <w:rPr>
                <w:rFonts w:ascii="Aptos" w:hAnsi="Aptos"/>
                <w:b w:val="0"/>
                <w:sz w:val="15"/>
              </w:rPr>
              <w:t>Prokhorenkova et al. (2018)</w:t>
            </w:r>
          </w:p>
        </w:tc>
        <w:tc>
          <w:tcPr>
            <w:tcW w:type="dxa" w:w="3600"/>
            <w:vAlign w:val="center"/>
            <w:tcMar>
              <w:top w:w="70" w:type="dxa"/>
              <w:start w:w="70" w:type="dxa"/>
              <w:bottom w:w="70" w:type="dxa"/>
              <w:end w:w="70" w:type="dxa"/>
            </w:tcMar>
          </w:tcPr>
          <w:p>
            <w:pPr>
              <w:spacing w:after="0" w:before="0"/>
              <w:jc w:val="left"/>
            </w:pPr>
            <w:r/>
            <w:r>
              <w:rPr>
                <w:rFonts w:ascii="Aptos" w:hAnsi="Aptos"/>
                <w:b w:val="0"/>
                <w:sz w:val="15"/>
              </w:rPr>
              <w:t>NeurIPS 31</w:t>
            </w:r>
          </w:p>
        </w:tc>
        <w:tc>
          <w:tcPr>
            <w:tcW w:type="dxa" w:w="3168"/>
            <w:vAlign w:val="center"/>
            <w:tcMar>
              <w:top w:w="70" w:type="dxa"/>
              <w:start w:w="70" w:type="dxa"/>
              <w:bottom w:w="70" w:type="dxa"/>
              <w:end w:w="70" w:type="dxa"/>
            </w:tcMar>
          </w:tcPr>
          <w:p>
            <w:pPr>
              <w:spacing w:after="0" w:before="0"/>
              <w:jc w:val="left"/>
            </w:pPr>
            <w:r/>
            <w:r>
              <w:rPr>
                <w:rFonts w:ascii="Aptos" w:hAnsi="Aptos"/>
                <w:b w:val="0"/>
                <w:sz w:val="15"/>
              </w:rPr>
              <w:t>No DOI assigned in cited record</w:t>
            </w:r>
          </w:p>
        </w:tc>
        <w:tc>
          <w:tcPr>
            <w:tcW w:type="dxa" w:w="1152"/>
            <w:vAlign w:val="center"/>
            <w:tcMar>
              <w:top w:w="70" w:type="dxa"/>
              <w:start w:w="70" w:type="dxa"/>
              <w:bottom w:w="70" w:type="dxa"/>
              <w:end w:w="70" w:type="dxa"/>
            </w:tcMar>
          </w:tcPr>
          <w:p>
            <w:pPr>
              <w:spacing w:after="0" w:before="0"/>
              <w:jc w:val="left"/>
            </w:pPr>
            <w:r/>
            <w:r>
              <w:rPr>
                <w:rFonts w:ascii="Aptos" w:hAnsi="Aptos"/>
                <w:b w:val="0"/>
                <w:sz w:val="15"/>
              </w:rPr>
              <w:t>Verified</w:t>
            </w:r>
          </w:p>
        </w:tc>
      </w:tr>
      <w:tr>
        <w:trPr>
          <w:cantSplit/>
        </w:trPr>
        <w:tc>
          <w:tcPr>
            <w:tcW w:type="dxa" w:w="3168"/>
            <w:vAlign w:val="center"/>
            <w:tcMar>
              <w:top w:w="70" w:type="dxa"/>
              <w:start w:w="70" w:type="dxa"/>
              <w:bottom w:w="70" w:type="dxa"/>
              <w:end w:w="70" w:type="dxa"/>
            </w:tcMar>
            <w:shd w:fill="FAFAFA"/>
          </w:tcPr>
          <w:p>
            <w:pPr>
              <w:spacing w:after="0" w:before="0"/>
              <w:jc w:val="left"/>
            </w:pPr>
            <w:r/>
            <w:r>
              <w:rPr>
                <w:rFonts w:ascii="Aptos" w:hAnsi="Aptos"/>
                <w:b w:val="0"/>
                <w:sz w:val="15"/>
              </w:rPr>
              <w:t>Lundberg &amp; Lee (2017)</w:t>
            </w:r>
          </w:p>
        </w:tc>
        <w:tc>
          <w:tcPr>
            <w:tcW w:type="dxa" w:w="3600"/>
            <w:vAlign w:val="center"/>
            <w:tcMar>
              <w:top w:w="70" w:type="dxa"/>
              <w:start w:w="70" w:type="dxa"/>
              <w:bottom w:w="70" w:type="dxa"/>
              <w:end w:w="70" w:type="dxa"/>
            </w:tcMar>
            <w:shd w:fill="FAFAFA"/>
          </w:tcPr>
          <w:p>
            <w:pPr>
              <w:spacing w:after="0" w:before="0"/>
              <w:jc w:val="left"/>
            </w:pPr>
            <w:r/>
            <w:r>
              <w:rPr>
                <w:rFonts w:ascii="Aptos" w:hAnsi="Aptos"/>
                <w:b w:val="0"/>
                <w:sz w:val="15"/>
              </w:rPr>
              <w:t>NeurIPS 30</w:t>
            </w:r>
          </w:p>
        </w:tc>
        <w:tc>
          <w:tcPr>
            <w:tcW w:type="dxa" w:w="3168"/>
            <w:vAlign w:val="center"/>
            <w:tcMar>
              <w:top w:w="70" w:type="dxa"/>
              <w:start w:w="70" w:type="dxa"/>
              <w:bottom w:w="70" w:type="dxa"/>
              <w:end w:w="70" w:type="dxa"/>
            </w:tcMar>
            <w:shd w:fill="FAFAFA"/>
          </w:tcPr>
          <w:p>
            <w:pPr>
              <w:spacing w:after="0" w:before="0"/>
              <w:jc w:val="left"/>
            </w:pPr>
            <w:r/>
            <w:r>
              <w:rPr>
                <w:rFonts w:ascii="Aptos" w:hAnsi="Aptos"/>
                <w:b w:val="0"/>
                <w:sz w:val="15"/>
              </w:rPr>
              <w:t>No DOI assigned in cited record</w:t>
            </w:r>
          </w:p>
        </w:tc>
        <w:tc>
          <w:tcPr>
            <w:tcW w:type="dxa" w:w="1152"/>
            <w:vAlign w:val="center"/>
            <w:tcMar>
              <w:top w:w="70" w:type="dxa"/>
              <w:start w:w="70" w:type="dxa"/>
              <w:bottom w:w="70" w:type="dxa"/>
              <w:end w:w="70" w:type="dxa"/>
            </w:tcMar>
            <w:shd w:fill="FAFAFA"/>
          </w:tcPr>
          <w:p>
            <w:pPr>
              <w:spacing w:after="0" w:before="0"/>
              <w:jc w:val="left"/>
            </w:pPr>
            <w:r/>
            <w:r>
              <w:rPr>
                <w:rFonts w:ascii="Aptos" w:hAnsi="Aptos"/>
                <w:b w:val="0"/>
                <w:sz w:val="15"/>
              </w:rPr>
              <w:t>Verified</w:t>
            </w:r>
          </w:p>
        </w:tc>
      </w:tr>
      <w:tr>
        <w:trPr>
          <w:cantSplit/>
        </w:trPr>
        <w:tc>
          <w:tcPr>
            <w:tcW w:type="dxa" w:w="3168"/>
            <w:vAlign w:val="center"/>
            <w:tcMar>
              <w:top w:w="70" w:type="dxa"/>
              <w:start w:w="70" w:type="dxa"/>
              <w:bottom w:w="70" w:type="dxa"/>
              <w:end w:w="70" w:type="dxa"/>
            </w:tcMar>
          </w:tcPr>
          <w:p>
            <w:pPr>
              <w:spacing w:after="0" w:before="0"/>
              <w:jc w:val="left"/>
            </w:pPr>
            <w:r/>
            <w:r>
              <w:rPr>
                <w:rFonts w:ascii="Aptos" w:hAnsi="Aptos"/>
                <w:b w:val="0"/>
                <w:sz w:val="15"/>
              </w:rPr>
              <w:t>Montiel et al. (2021)</w:t>
            </w:r>
          </w:p>
        </w:tc>
        <w:tc>
          <w:tcPr>
            <w:tcW w:type="dxa" w:w="3600"/>
            <w:vAlign w:val="center"/>
            <w:tcMar>
              <w:top w:w="70" w:type="dxa"/>
              <w:start w:w="70" w:type="dxa"/>
              <w:bottom w:w="70" w:type="dxa"/>
              <w:end w:w="70" w:type="dxa"/>
            </w:tcMar>
          </w:tcPr>
          <w:p>
            <w:pPr>
              <w:spacing w:after="0" w:before="0"/>
              <w:jc w:val="left"/>
            </w:pPr>
            <w:r/>
            <w:r>
              <w:rPr>
                <w:rFonts w:ascii="Aptos" w:hAnsi="Aptos"/>
                <w:b w:val="0"/>
                <w:sz w:val="15"/>
              </w:rPr>
              <w:t>JMLR 22(110), 1-8</w:t>
            </w:r>
          </w:p>
        </w:tc>
        <w:tc>
          <w:tcPr>
            <w:tcW w:type="dxa" w:w="3168"/>
            <w:vAlign w:val="center"/>
            <w:tcMar>
              <w:top w:w="70" w:type="dxa"/>
              <w:start w:w="70" w:type="dxa"/>
              <w:bottom w:w="70" w:type="dxa"/>
              <w:end w:w="70" w:type="dxa"/>
            </w:tcMar>
          </w:tcPr>
          <w:p>
            <w:pPr>
              <w:spacing w:after="0" w:before="0"/>
              <w:jc w:val="left"/>
            </w:pPr>
            <w:r/>
            <w:r>
              <w:rPr>
                <w:rFonts w:ascii="Aptos" w:hAnsi="Aptos"/>
                <w:b w:val="0"/>
                <w:sz w:val="15"/>
              </w:rPr>
              <w:t>JMLR record; no DOI in cited record</w:t>
            </w:r>
          </w:p>
        </w:tc>
        <w:tc>
          <w:tcPr>
            <w:tcW w:type="dxa" w:w="1152"/>
            <w:vAlign w:val="center"/>
            <w:tcMar>
              <w:top w:w="70" w:type="dxa"/>
              <w:start w:w="70" w:type="dxa"/>
              <w:bottom w:w="70" w:type="dxa"/>
              <w:end w:w="70" w:type="dxa"/>
            </w:tcMar>
          </w:tcPr>
          <w:p>
            <w:pPr>
              <w:spacing w:after="0" w:before="0"/>
              <w:jc w:val="left"/>
            </w:pPr>
            <w:r/>
            <w:r>
              <w:rPr>
                <w:rFonts w:ascii="Aptos" w:hAnsi="Aptos"/>
                <w:b w:val="0"/>
                <w:sz w:val="15"/>
              </w:rPr>
              <w:t>Verified</w:t>
            </w:r>
          </w:p>
        </w:tc>
      </w:tr>
      <w:tr>
        <w:trPr>
          <w:cantSplit/>
        </w:trPr>
        <w:tc>
          <w:tcPr>
            <w:tcW w:type="dxa" w:w="3168"/>
            <w:vAlign w:val="center"/>
            <w:tcMar>
              <w:top w:w="70" w:type="dxa"/>
              <w:start w:w="70" w:type="dxa"/>
              <w:bottom w:w="70" w:type="dxa"/>
              <w:end w:w="70" w:type="dxa"/>
            </w:tcMar>
            <w:shd w:fill="FAFAFA"/>
          </w:tcPr>
          <w:p>
            <w:pPr>
              <w:spacing w:after="0" w:before="0"/>
              <w:jc w:val="left"/>
            </w:pPr>
            <w:r/>
            <w:r>
              <w:rPr>
                <w:rFonts w:ascii="Aptos" w:hAnsi="Aptos"/>
                <w:b w:val="0"/>
                <w:sz w:val="15"/>
              </w:rPr>
              <w:t>Bifet &amp; Gavaldà (2007)</w:t>
            </w:r>
          </w:p>
        </w:tc>
        <w:tc>
          <w:tcPr>
            <w:tcW w:type="dxa" w:w="3600"/>
            <w:vAlign w:val="center"/>
            <w:tcMar>
              <w:top w:w="70" w:type="dxa"/>
              <w:start w:w="70" w:type="dxa"/>
              <w:bottom w:w="70" w:type="dxa"/>
              <w:end w:w="70" w:type="dxa"/>
            </w:tcMar>
            <w:shd w:fill="FAFAFA"/>
          </w:tcPr>
          <w:p>
            <w:pPr>
              <w:spacing w:after="0" w:before="0"/>
              <w:jc w:val="left"/>
            </w:pPr>
            <w:r/>
            <w:r>
              <w:rPr>
                <w:rFonts w:ascii="Aptos" w:hAnsi="Aptos"/>
                <w:b w:val="0"/>
                <w:sz w:val="15"/>
              </w:rPr>
              <w:t>SIAM SDM, 443-448</w:t>
            </w:r>
          </w:p>
        </w:tc>
        <w:tc>
          <w:tcPr>
            <w:tcW w:type="dxa" w:w="3168"/>
            <w:vAlign w:val="center"/>
            <w:tcMar>
              <w:top w:w="70" w:type="dxa"/>
              <w:start w:w="70" w:type="dxa"/>
              <w:bottom w:w="70" w:type="dxa"/>
              <w:end w:w="70" w:type="dxa"/>
            </w:tcMar>
            <w:shd w:fill="FAFAFA"/>
          </w:tcPr>
          <w:p>
            <w:pPr>
              <w:spacing w:after="0" w:before="0"/>
              <w:jc w:val="left"/>
            </w:pPr>
            <w:r/>
            <w:r>
              <w:rPr>
                <w:rFonts w:ascii="Aptos" w:hAnsi="Aptos"/>
                <w:b w:val="0"/>
                <w:sz w:val="15"/>
              </w:rPr>
              <w:t>10.1137/1.9781611972771.42</w:t>
            </w:r>
          </w:p>
        </w:tc>
        <w:tc>
          <w:tcPr>
            <w:tcW w:type="dxa" w:w="1152"/>
            <w:vAlign w:val="center"/>
            <w:tcMar>
              <w:top w:w="70" w:type="dxa"/>
              <w:start w:w="70" w:type="dxa"/>
              <w:bottom w:w="70" w:type="dxa"/>
              <w:end w:w="70" w:type="dxa"/>
            </w:tcMar>
            <w:shd w:fill="FAFAFA"/>
          </w:tcPr>
          <w:p>
            <w:pPr>
              <w:spacing w:after="0" w:before="0"/>
              <w:jc w:val="left"/>
            </w:pPr>
            <w:r/>
            <w:r>
              <w:rPr>
                <w:rFonts w:ascii="Aptos" w:hAnsi="Aptos"/>
                <w:b w:val="0"/>
                <w:sz w:val="15"/>
              </w:rPr>
              <w:t>Verified</w:t>
            </w:r>
          </w:p>
        </w:tc>
      </w:tr>
    </w:tbl>
    <w:p>
      <w:pPr>
        <w:pStyle w:val="Heading1"/>
      </w:pPr>
      <w:r>
        <w:t>11. References</w:t>
      </w:r>
    </w:p>
    <w:p>
      <w:pPr>
        <w:spacing w:after="40"/>
        <w:ind w:left="360" w:hanging="360"/>
      </w:pPr>
      <w:r>
        <w:t>Bifet, A., &amp; Gavaldà, R. (2007). Learning from time-changing data with adaptive windowing. In Proceedings of the 2007 SIAM International Conference on Data Mining (pp. 443-448). https://doi.org/10.1137/1.9781611972771.42</w:t>
      </w:r>
    </w:p>
    <w:p>
      <w:pPr>
        <w:spacing w:after="40"/>
        <w:ind w:left="360" w:hanging="360"/>
      </w:pPr>
      <w:r>
        <w:t>Lastra, G., Jokovic, V., &amp; Kanchibotla, S. (2021). Understanding the impact of geotechnical ore properties and blast design on comminution circuits using simulations. Minerals Engineering, 170, 107001. https://doi.org/10.1016/j.mineng.2021.107001</w:t>
      </w:r>
    </w:p>
    <w:p>
      <w:pPr>
        <w:spacing w:after="40"/>
        <w:ind w:left="360" w:hanging="360"/>
      </w:pPr>
      <w:r>
        <w:t>Losaladjome Mboyo, H., Huo, B., Mulenga, F. K., Mabe Fogang, P., &amp; Kalenga Kaunde Kasongo, J. (2024). Assessing the impact of surface blast design parameters on the performance of a comminution circuit processing a copper-bearing ore. Minerals, 14(12), 1226. https://doi.org/10.3390/min14121226</w:t>
      </w:r>
    </w:p>
    <w:p>
      <w:pPr>
        <w:spacing w:after="40"/>
        <w:ind w:left="360" w:hanging="360"/>
      </w:pPr>
      <w:r>
        <w:t>Lundberg, S. M., &amp; Lee, S.-I. (2017). A unified approach to interpreting model predictions. Advances in Neural Information Processing Systems, 30.</w:t>
      </w:r>
    </w:p>
    <w:p>
      <w:pPr>
        <w:spacing w:after="40"/>
        <w:ind w:left="360" w:hanging="360"/>
      </w:pPr>
      <w:r>
        <w:t>Montiel, J., Halford, M., Mastelini, S. M., Bolmier, G., Sourty, R., Vaysse, R., Zouitine, A., Gomes, H. M., Read, J., Abdessalem, T., &amp; Bifet, A. (2021). River: Machine learning for streaming data in Python. Journal of Machine Learning Research, 22(110), 1-8.</w:t>
      </w:r>
    </w:p>
    <w:p>
      <w:pPr>
        <w:spacing w:after="40"/>
        <w:ind w:left="360" w:hanging="360"/>
      </w:pPr>
      <w:r>
        <w:t>Navarro Torres, V. F., Ferreira, F. V., de Carvalho, V. A., Veras, E., &amp; Sitônio, F. F. (2024). Application of blast-pile image analysis in a Mine-to-Crusher model to minimize overall costs in a large-scale open-pit mine in Brazil. Mining, 4(4), 983-993. https://doi.org/10.3390/mining4040055</w:t>
      </w:r>
    </w:p>
    <w:p>
      <w:pPr>
        <w:spacing w:after="40"/>
        <w:ind w:left="360" w:hanging="360"/>
      </w:pPr>
      <w:r>
        <w:t>Nikkhah, A., Vakylabad, A. B., Hassanzadeh, A., Niedoba, T., &amp; Surowiak, A. (2022). An evaluation on the impact of ore fragmented by blasting on mining performance. Minerals, 12(2), 258. https://doi.org/10.3390/min12020258</w:t>
      </w:r>
    </w:p>
    <w:p>
      <w:pPr>
        <w:spacing w:after="40"/>
        <w:ind w:left="360" w:hanging="360"/>
      </w:pPr>
      <w:r>
        <w:t>Prokhorenkova, L., Gusev, G., Vorobev, A., Dorogush, A. V., &amp; Gulin, A. (2018). CatBoost: Unbiased boosting with categorical features. Advances in Neural Information Processing Systems, 31.</w:t>
      </w:r>
    </w:p>
    <w:p>
      <w:pPr>
        <w:spacing w:after="40"/>
        <w:ind w:left="360" w:hanging="360"/>
      </w:pPr>
      <w:r>
        <w:t>Saldana, M., Gallegos, S., Arias, D., Salazar, I., Castillo, J., Salinas-Rodríguez, E., Navarra, A., Toro, N., &amp; Cisternas, L. A. (2024). Applications of Kuz-Ram models in Mine-to-Mill integration and optimization-A review. Minerals, 14(11), 1162. https://doi.org/10.3390/min14111162</w:t>
      </w:r>
    </w:p>
    <w:p>
      <w:pPr>
        <w:spacing w:after="40"/>
        <w:ind w:left="360" w:hanging="360"/>
      </w:pPr>
      <w:r>
        <w:t>Yamashita, A. S., Thivierge, A., &amp; Euzébio, T. A. M. (2021). A review of modeling and control strategies for cone crushers in the mineral processing and quarrying industries. Minerals Engineering, 170, 107036. https://doi.org/10.1016/j.mineng.2021.107036</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color w:val="17365D"/>
        <w:sz w:val="16"/>
      </w:rPr>
      <w:t>Universidad Nacional Mayor de San Marcos | Mini Systematic Literature Review v1.1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2" w:lineRule="auto"/>
    </w:pPr>
    <w:rPr>
      <w:rFonts w:ascii="Aptos" w:hAnsi="Aptos"/>
      <w:color w:val="1F1F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ascii="Aptos" w:hAnsi="Aptos"/>
      <w:b/>
      <w:bCs/>
      <w:color w:val="17365D"/>
      <w:sz w:val="26"/>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ptos" w:hAnsi="Aptos"/>
      <w:b/>
      <w:bCs/>
      <w:color w:val="2F5597"/>
      <w:sz w:val="23"/>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w:hAnsi="Aptos"/>
      <w:b/>
      <w:bCs/>
      <w:color w:val="2F559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60" w:line="240" w:lineRule="auto" w:before="140"/>
      <w:contextualSpacing/>
    </w:pPr>
    <w:rPr>
      <w:rFonts w:asciiTheme="majorHAnsi" w:eastAsiaTheme="majorEastAsia" w:hAnsiTheme="majorHAnsi" w:cstheme="majorBidi" w:ascii="Aptos Display" w:hAnsi="Aptos Display"/>
      <w:b/>
      <w:color w:val="17365D"/>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