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D62A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PyroRAG智能体</w:t>
      </w:r>
    </w:p>
    <w:p w14:paraId="43C0B8E4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平台介绍</w:t>
      </w:r>
    </w:p>
    <w:p w14:paraId="333AE57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为支撑固体推进剂智能体、高能物质智能体运行，214室与浦江实验室完成知识库管理系统与知识问答服务平台研发。</w:t>
      </w:r>
    </w:p>
    <w:p w14:paraId="3C8E436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平台界面如下图所示：</w:t>
      </w:r>
    </w:p>
    <w:p w14:paraId="6941C575">
      <w:pPr>
        <w:rPr>
          <w:rFonts w:hint="eastAsia"/>
          <w:lang w:val="en-US" w:eastAsia="zh-CN"/>
        </w:rPr>
      </w:pPr>
    </w:p>
    <w:p w14:paraId="22818243">
      <w:r>
        <w:drawing>
          <wp:inline distT="0" distB="0" distL="114300" distR="114300">
            <wp:extent cx="5266690" cy="2693035"/>
            <wp:effectExtent l="0" t="0" r="1016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78A96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1-1 PyroRAG平台界面</w:t>
      </w:r>
    </w:p>
    <w:p w14:paraId="4F65AE67">
      <w:pPr>
        <w:pStyle w:val="11"/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6E11A2F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其中，左边部分是平台对应的功能列表，对话表示用户与智能体之间的对话，可以通过“+”号来新建对话，会话则表示用户与智能体的历史对话记录；</w:t>
      </w:r>
    </w:p>
    <w:p w14:paraId="233985A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PyroRAG平台对应功能如下表所示：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6818"/>
      </w:tblGrid>
      <w:tr w14:paraId="35CB4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DB756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  <w:tc>
          <w:tcPr>
            <w:tcW w:w="6818" w:type="dxa"/>
          </w:tcPr>
          <w:p w14:paraId="188EF7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610B1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C6C48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818" w:type="dxa"/>
          </w:tcPr>
          <w:p w14:paraId="261693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F2D5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CF526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818" w:type="dxa"/>
          </w:tcPr>
          <w:p w14:paraId="6BB530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20B5054">
      <w:pPr>
        <w:rPr>
          <w:rFonts w:hint="default"/>
          <w:lang w:val="en-US" w:eastAsia="zh-CN"/>
        </w:rPr>
      </w:pPr>
    </w:p>
    <w:p w14:paraId="38024AE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功能及应用案例</w:t>
      </w:r>
    </w:p>
    <w:p w14:paraId="2C63C1A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对话功能</w:t>
      </w:r>
    </w:p>
    <w:p w14:paraId="57D326C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功能界面为平台初始界面，使用流程分为两步：第一步，依据用户的问题选择知识库，可选知识库类型包括高能物质、推进剂配方与个人知识库三类；第二步，选定搜索模式，提供快速搜索、深度搜索两种选项，专家模式暂未开放。</w:t>
      </w:r>
    </w:p>
    <w:p w14:paraId="7348CFD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搜索依托关键词与向量相似度检索，直接在知识库索引中匹配文本片段，不执行多轮推理，优先保证响应速度；深度搜索则采用多步检索结合推理机制，侧重检索结果的完整性与严谨性，平台默认使用快速搜索。</w:t>
      </w:r>
    </w:p>
    <w:p w14:paraId="4799BD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用户选定知识库与搜索模式后，如图 2-1所示，即可发起提问。智能体平台将针对问题给出对应解答，并在每条回答末尾附上引用来源，便于用户溯源核查，保障回答内容的完整与准确。</w:t>
      </w:r>
    </w:p>
    <w:p w14:paraId="0D62DC9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749550"/>
            <wp:effectExtent l="0" t="0" r="1016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575AD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2-1 对话功能示例</w:t>
      </w:r>
    </w:p>
    <w:p w14:paraId="44ED7A3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当用户选择深度搜索模式发起提问时，智能体会在回答中展示其完整检索过程，如图2-2所示，以此来提升输出内容的质量。</w:t>
      </w:r>
    </w:p>
    <w:p w14:paraId="035AF01F">
      <w:r>
        <w:drawing>
          <wp:inline distT="0" distB="0" distL="114300" distR="114300">
            <wp:extent cx="5229860" cy="2682875"/>
            <wp:effectExtent l="0" t="0" r="889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387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EE4DD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2-2 深度搜索检索过程示例</w:t>
      </w:r>
    </w:p>
    <w:p w14:paraId="5F99E06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若用户在使用过程中未指定知识库，智能体生成的回答会标记为通用回答，如图2-3所示，且问答末尾也不会附带相关引用信息。</w:t>
      </w:r>
    </w:p>
    <w:p w14:paraId="561B7DB5">
      <w:pPr>
        <w:rPr>
          <w:rFonts w:hint="default"/>
          <w:lang w:val="en-US" w:eastAsia="zh-CN"/>
        </w:rPr>
      </w:pPr>
    </w:p>
    <w:p w14:paraId="483F6819"/>
    <w:p w14:paraId="707DE40E">
      <w:r>
        <w:drawing>
          <wp:inline distT="0" distB="0" distL="114300" distR="114300">
            <wp:extent cx="5273675" cy="2760980"/>
            <wp:effectExtent l="0" t="0" r="317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23495</wp:posOffset>
                </wp:positionH>
                <wp:positionV relativeFrom="paragraph">
                  <wp:posOffset>639445</wp:posOffset>
                </wp:positionV>
                <wp:extent cx="433070" cy="185420"/>
                <wp:effectExtent l="6350" t="6350" r="17780" b="1778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98880" y="2346960"/>
                          <a:ext cx="433070" cy="185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85pt;margin-top:50.35pt;height:14.6pt;width:34.1pt;z-index:251659264;v-text-anchor:middle;mso-width-relative:page;mso-height-relative:page;" filled="f" stroked="t" coordsize="21600,21600" o:gfxdata="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GllVvTAAAACAEAAA8AAAAAAAAAAQAgAAAAIgAAAGRycy9kb3du&#10;cmV2LnhtbFBLAQIUABQAAAAIAIdO4kDdwskJdgIAANYEAAAOAAAAAAAAAAEAIAAAACIBAABkcnMv&#10;ZTJvRG9jLnhtbFBLBQYAAAAABgAGAFkBAAAK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F0AB322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2-3未选择知识库对话示例</w:t>
      </w:r>
    </w:p>
    <w:p w14:paraId="14778A1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2.2知识库</w:t>
      </w:r>
    </w:p>
    <w:p w14:paraId="0E53DDD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平台当前已搭建高能物质、推进剂配方两类通用知识库。其中，高能物质为含能材料领域知识库，建设目标是完成约 30 万篇文献的索引工作，现已完成 5735 篇文献索引；推进剂配方属于配方领域知识库，目标索引文献约 12 万篇，当前已完成 5595 篇文献索引。两类知识库面向42所相关研究人员，用于文献检索查阅，知识库框架如图 2-4 所示。</w:t>
      </w:r>
    </w:p>
    <w:p w14:paraId="0F125843">
      <w:r>
        <w:drawing>
          <wp:inline distT="0" distB="0" distL="114300" distR="114300">
            <wp:extent cx="5264150" cy="2697480"/>
            <wp:effectExtent l="0" t="0" r="12700" b="762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1F03">
      <w:pPr>
        <w:pStyle w:val="11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2-4 知识库框架</w:t>
      </w:r>
    </w:p>
    <w:p w14:paraId="34DDF9F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除上述两类通用知识库外，用户可按需创建个人知识库。点击界面右上角 “新建知识库” 即可启动创建流程，例如以 42 所公开论文知识库为例，如图 2-5 所示，构建个人知识库时，将文件拖拽至指定区域完成上传；平台支持 pdf、docx、txt、md 等文件格式。勾选 MinerU 用于 PDF 解析后，点击构建索引。索引构建完成后，知识库页面将展示已索引文献数量，标志个人知识库创建完毕。</w:t>
      </w:r>
    </w:p>
    <w:p w14:paraId="131D7876">
      <w:r>
        <w:drawing>
          <wp:inline distT="0" distB="0" distL="114300" distR="114300">
            <wp:extent cx="5262880" cy="2759075"/>
            <wp:effectExtent l="0" t="0" r="13970" b="31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351C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2-5 个人知识库示例</w:t>
      </w:r>
    </w:p>
    <w:p w14:paraId="3030B7D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文献检索</w:t>
      </w:r>
    </w:p>
    <w:p w14:paraId="028B922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献检索模块支持用户基于研究主题，在已搭建的知识库内快速开展文献检索工作。该模块可限定检索范围，用户能够自主选择待检索的平台知识库，同时设置文献目标收集总量与页面展示篇数，灵活控制检索规模与结果呈现形式。其功能界面如图 2-6 所示。</w:t>
      </w:r>
    </w:p>
    <w:p w14:paraId="7628B240">
      <w:r>
        <w:drawing>
          <wp:inline distT="0" distB="0" distL="114300" distR="114300">
            <wp:extent cx="5270500" cy="1554480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rcRect b="422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002D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2-6 文献检索模块</w:t>
      </w:r>
    </w:p>
    <w:p w14:paraId="656F09D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以检索 CL-20 相关文献为例进行说明：在搜索主题栏输入关键词 CL-20，选定目标知识库，同时配置文献目标收集数量与结果展示篇数，点击开始搜索即可获取检索结果，界面如图 2-7 所示。检索结果以文献条目形式呈现，同时标注检索主题在原文中的出处位置，便于研究人员快速定位目标信息，开展后续研读与分析。文献检索模块当前还不支持文献下载功能，在后续工作中会继续完善相应功能。</w:t>
      </w:r>
    </w:p>
    <w:p w14:paraId="3CDC27AE"/>
    <w:p w14:paraId="31D81647">
      <w:r>
        <w:drawing>
          <wp:inline distT="0" distB="0" distL="114300" distR="114300">
            <wp:extent cx="5270500" cy="2697480"/>
            <wp:effectExtent l="0" t="0" r="6350" b="762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164A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2-7 文献检索功能示例</w:t>
      </w:r>
    </w:p>
    <w:p w14:paraId="4FDE97C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 评测</w:t>
      </w:r>
    </w:p>
    <w:p w14:paraId="125DF5FC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评测功能依托评测数据集，对用户自建知识库开展量化评测，以此评估知识库的构建质量与检索效果，评测界面如图 2-8 所示。该功能支持选择平台通用知识库与用户个人知识库，检索生成模式可选用快速搜索、深度搜索两种方式。评测数据集采用 JSON 文件格式，由用户自行构建。完成评测集配置后，点击运行大模型评测，即可启动对选定知识库的评测任务。评测过程中，系统基于所选知识库生成对应回答，再调用配置好的大模型 LLM API，将模型输出答案与参考答案进行语义相似度打分，并同步返回判定依据；最终所有评测指标与结果将在评测看板中集中展示。</w:t>
      </w:r>
    </w:p>
    <w:p w14:paraId="00F3FC70">
      <w:r>
        <w:drawing>
          <wp:inline distT="0" distB="0" distL="114300" distR="114300">
            <wp:extent cx="5270500" cy="2695575"/>
            <wp:effectExtent l="0" t="0" r="6350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2503B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2-8 评测功能界面</w:t>
      </w:r>
    </w:p>
    <w:p w14:paraId="66BAEBA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以金红石相关问答任务为例开展评测实验：构建 JSON 格式评测数据集，知识库选择用户自建的 42 所公开论文个人知识库，检索生成模式选用快速搜索。完成参数配置后点击运行大模型评测，最终得到如图 2-9 所示的评测结果。</w:t>
      </w:r>
    </w:p>
    <w:p w14:paraId="2488BF5E">
      <w:pPr>
        <w:rPr>
          <w:rFonts w:hint="default"/>
          <w:lang w:val="en-US" w:eastAsia="zh-CN"/>
        </w:rPr>
      </w:pPr>
    </w:p>
    <w:p w14:paraId="5ECCBF0A">
      <w:r>
        <w:drawing>
          <wp:inline distT="0" distB="0" distL="114300" distR="114300">
            <wp:extent cx="5269865" cy="2425700"/>
            <wp:effectExtent l="0" t="0" r="6985" b="1270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6C07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2-9 评测功能示例</w:t>
      </w:r>
    </w:p>
    <w:p w14:paraId="615DA20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 扩展工具</w:t>
      </w:r>
    </w:p>
    <w:p w14:paraId="57F951D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2.5.1 流水线</w:t>
      </w:r>
    </w:p>
    <w:p w14:paraId="6B2DA67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流水线模块是一个高级功能模块，总共保存了5种流水线模板，可以通过新建流水线任务来开启任务，目前此功能尚未使用，不做测试。</w:t>
      </w:r>
    </w:p>
    <w:p w14:paraId="550D8AD0">
      <w:r>
        <w:drawing>
          <wp:inline distT="0" distB="0" distL="114300" distR="114300">
            <wp:extent cx="5258435" cy="2988310"/>
            <wp:effectExtent l="0" t="0" r="18415" b="254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7609B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构建流水线工作</w:t>
      </w:r>
      <w:bookmarkStart w:id="0" w:name="_GoBack"/>
      <w:bookmarkEnd w:id="0"/>
    </w:p>
    <w:p w14:paraId="7196F6F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2.5.2 模板检索</w:t>
      </w:r>
    </w:p>
    <w:p w14:paraId="5082935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模板检索模块支持输入有效的分子 SMILES，既可以基于 Tanimoto 相似度检索关联反应模板，也可执行不依赖相似度阈值的独立子结构检索，界面如图 2-10 所示。该界面包含分子 SMILES 输入框、相似度阈值、最后返回结果数量和置信度等参数配置区域，用于自定义检索条件；检索输出分为两类，分别为相似度匹配结果与子结构匹配结果，可满足不同层面的反应模板挖掘需求。</w:t>
      </w:r>
    </w:p>
    <w:p w14:paraId="06573D4E">
      <w:r>
        <w:drawing>
          <wp:inline distT="0" distB="0" distL="114300" distR="114300">
            <wp:extent cx="5250180" cy="2674620"/>
            <wp:effectExtent l="0" t="0" r="7620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3D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2-10 模板检索界面</w:t>
      </w:r>
    </w:p>
    <w:p w14:paraId="165BE09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以分子 SMILES 表达式`CCO`开展模板检索功能测试，将相似度阈值设置为 0.3，限定返回结果总数为 10，最低置信度设为 0，完成参数配置后点击检索模板，即可得到匹配结果。其中相似度检索结果如图 2-11 所示，页面展示反应 SMILES、带原子映射信息以及对应的反应模板，便于研究人员直观掌握反应路径与反应机理，快速理解完整反应过程。</w:t>
      </w:r>
    </w:p>
    <w:p w14:paraId="077A9BC8">
      <w:r>
        <w:drawing>
          <wp:inline distT="0" distB="0" distL="114300" distR="114300">
            <wp:extent cx="5266690" cy="2821305"/>
            <wp:effectExtent l="0" t="0" r="10160" b="171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EF47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2-11 相似度结果</w:t>
      </w:r>
    </w:p>
    <w:p w14:paraId="035036C0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子结构匹配如图2-12所示，其同样包含反应 SMILES、带原子映射信息以及对应的反应模板三种信息。</w:t>
      </w:r>
    </w:p>
    <w:p w14:paraId="0FB31D53">
      <w:r>
        <w:drawing>
          <wp:inline distT="0" distB="0" distL="114300" distR="114300">
            <wp:extent cx="5261610" cy="3179445"/>
            <wp:effectExtent l="0" t="0" r="15240" b="190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5026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2-12 子结构匹配</w:t>
      </w:r>
    </w:p>
    <w:p w14:paraId="3A971B1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2.5.3 知识图谱</w:t>
      </w:r>
    </w:p>
    <w:p w14:paraId="18BB76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图谱模块可对已有文档与平台知识库进行关系预览。该模块能够从文献中提取分子、反应、材料、性能参数等实体，采用节点与关系边的形式完成知识存储，将非结构化的文献文本转换为网状知识结构，帮助研究人员直观查看物质、反应之间的关联网络，快速梳理领域知识脉络。</w:t>
      </w:r>
    </w:p>
    <w:p w14:paraId="6EF5A9B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知识图谱界面支持多项参数配置，包括知识图谱选择、标签过滤、扩展跳数、节点上限以及实体搜索功能。其中标签过滤对应节点类型，可选类型包含 result、application、author 等。以扩展跳数设置为 2 跳、节点上限设置为 500 为例，加载知识图谱后，得到如图 2-13 所示的可视化结果。</w:t>
      </w:r>
    </w:p>
    <w:p w14:paraId="73E68C10">
      <w:r>
        <w:drawing>
          <wp:inline distT="0" distB="0" distL="114300" distR="114300">
            <wp:extent cx="5256530" cy="2689225"/>
            <wp:effectExtent l="0" t="0" r="1270" b="1587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9E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2-13 知识图谱关系图</w:t>
      </w:r>
    </w:p>
    <w:p w14:paraId="76CC6A7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由图可见，图谱内大部分节点相互关联紧密，但大量节点同时展示会造成视觉信息过载，不利于用户快速定位目标实体及其对应关系。为此，平台支持针对单个实体进行局部子图查询。以实体 HMX 为例，检索结果如图 2-14 所示，可直观呈现 HMX 在 2 跳范围内的关联关系；界面左侧展示 HMX 节点的详细属性信息，以及该实体对应的全部关联边关系，可帮助研究人员进行快速定位。</w:t>
      </w:r>
    </w:p>
    <w:p w14:paraId="7E2DD9CF">
      <w:r>
        <w:drawing>
          <wp:inline distT="0" distB="0" distL="114300" distR="114300">
            <wp:extent cx="5260975" cy="2647950"/>
            <wp:effectExtent l="0" t="0" r="15875" b="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E1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2-14 HMX知识图谱</w:t>
      </w:r>
    </w:p>
    <w:p w14:paraId="22D9A44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除此之外，用户在实体搜索框检索 CL-20 时，可得到与 HMX 案例相类似的可视化效果。系统将以知识图谱形式展示 CL-20 的全部关联关系，如图 2-15 所示；界面左侧依旧呈现 CL-20 实体节点的详细信息，为科研人员后续开展相关研究提供支撑。</w:t>
      </w:r>
    </w:p>
    <w:p w14:paraId="18F558FC">
      <w:r>
        <w:drawing>
          <wp:inline distT="0" distB="0" distL="114300" distR="114300">
            <wp:extent cx="5273675" cy="2637790"/>
            <wp:effectExtent l="0" t="0" r="3175" b="1016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37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2-15 CL-20知识图谱</w:t>
      </w:r>
    </w:p>
    <w:p w14:paraId="51D1656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2.5.4 数据统计</w:t>
      </w:r>
    </w:p>
    <w:p w14:paraId="358C89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数据统计模块会实时监测智能体的变化，包括以下几个部分：</w:t>
      </w:r>
    </w:p>
    <w:p w14:paraId="55333884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知识库数据：统计知识库总数、已构建索引和文档总数，截止目前总共构建3个知识库，3个索引，文档总数为11344；</w:t>
      </w:r>
    </w:p>
    <w:p w14:paraId="175F5A85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对话数据：会话总数是指总共创建的新对话个数，问答总数统计了所有会话中的提问总次数情况；</w:t>
      </w:r>
    </w:p>
    <w:p w14:paraId="2757E3E4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流水线数据：未开展流水线任务，无记录；</w:t>
      </w:r>
    </w:p>
    <w:p w14:paraId="34AA1B47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反应模板库：统计反应模板200个，分子指纹记录883个；</w:t>
      </w:r>
    </w:p>
    <w:p w14:paraId="7B8B8E64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知识图谱：统计知识图谱的所有节点25597个及其对应的关系边数20822个；</w:t>
      </w:r>
    </w:p>
    <w:p w14:paraId="482B039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695575"/>
            <wp:effectExtent l="0" t="0" r="8255" b="952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FF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数据统计模块</w:t>
      </w:r>
    </w:p>
    <w:p w14:paraId="29241C45">
      <w:pPr>
        <w:pStyle w:val="11"/>
        <w:bidi w:val="0"/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58EC30ED">
      <w:pPr>
        <w:rPr>
          <w:rFonts w:hint="default"/>
          <w:lang w:val="en-US" w:eastAsia="zh-CN"/>
        </w:rPr>
      </w:pPr>
    </w:p>
    <w:p w14:paraId="599805A8"/>
    <w:p w14:paraId="2C0941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548EE9"/>
    <w:multiLevelType w:val="singleLevel"/>
    <w:tmpl w:val="E3548EE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50DD1D8"/>
    <w:multiLevelType w:val="singleLevel"/>
    <w:tmpl w:val="F50DD1D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0CDE955"/>
    <w:multiLevelType w:val="singleLevel"/>
    <w:tmpl w:val="40CDE955"/>
    <w:lvl w:ilvl="0" w:tentative="0">
      <w:start w:val="2"/>
      <w:numFmt w:val="decimal"/>
      <w:suff w:val="space"/>
      <w:lvlText w:val="%1-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6D0377"/>
    <w:rsid w:val="00471A80"/>
    <w:rsid w:val="00D127D3"/>
    <w:rsid w:val="01F23CD2"/>
    <w:rsid w:val="02EF3555"/>
    <w:rsid w:val="02F10511"/>
    <w:rsid w:val="031E62CB"/>
    <w:rsid w:val="03C17E90"/>
    <w:rsid w:val="04C13B2B"/>
    <w:rsid w:val="051323D1"/>
    <w:rsid w:val="05763F45"/>
    <w:rsid w:val="064A0FE9"/>
    <w:rsid w:val="065B00B2"/>
    <w:rsid w:val="07742EA5"/>
    <w:rsid w:val="078A03D3"/>
    <w:rsid w:val="07D3114D"/>
    <w:rsid w:val="08065580"/>
    <w:rsid w:val="080F70C7"/>
    <w:rsid w:val="08D807A0"/>
    <w:rsid w:val="08FA3E86"/>
    <w:rsid w:val="0C4B39ED"/>
    <w:rsid w:val="0C684EC7"/>
    <w:rsid w:val="0D9A50E8"/>
    <w:rsid w:val="0DA02EFC"/>
    <w:rsid w:val="0DA03A4E"/>
    <w:rsid w:val="0EEA6388"/>
    <w:rsid w:val="0FE7274C"/>
    <w:rsid w:val="10157CED"/>
    <w:rsid w:val="10554337"/>
    <w:rsid w:val="109977DE"/>
    <w:rsid w:val="110E3E23"/>
    <w:rsid w:val="11A958FA"/>
    <w:rsid w:val="11B03029"/>
    <w:rsid w:val="12466A28"/>
    <w:rsid w:val="132B25F4"/>
    <w:rsid w:val="13A20852"/>
    <w:rsid w:val="14CD3C10"/>
    <w:rsid w:val="160172EF"/>
    <w:rsid w:val="1803771B"/>
    <w:rsid w:val="18A960F0"/>
    <w:rsid w:val="18D104E1"/>
    <w:rsid w:val="1A3D35ED"/>
    <w:rsid w:val="1A7C2869"/>
    <w:rsid w:val="1AA4293E"/>
    <w:rsid w:val="1C4F64CA"/>
    <w:rsid w:val="1CA4461F"/>
    <w:rsid w:val="1CBF2A86"/>
    <w:rsid w:val="1D843BA9"/>
    <w:rsid w:val="1E02407E"/>
    <w:rsid w:val="1E041AD4"/>
    <w:rsid w:val="1E5C2ECF"/>
    <w:rsid w:val="1F872AA3"/>
    <w:rsid w:val="1FCA6E5B"/>
    <w:rsid w:val="202A177C"/>
    <w:rsid w:val="20724E19"/>
    <w:rsid w:val="2084273E"/>
    <w:rsid w:val="227F3F6E"/>
    <w:rsid w:val="2343105D"/>
    <w:rsid w:val="23ED13D2"/>
    <w:rsid w:val="23F511B0"/>
    <w:rsid w:val="24A953A6"/>
    <w:rsid w:val="24B27742"/>
    <w:rsid w:val="267267AA"/>
    <w:rsid w:val="269100BE"/>
    <w:rsid w:val="27256444"/>
    <w:rsid w:val="292E42A9"/>
    <w:rsid w:val="293359A5"/>
    <w:rsid w:val="296C6514"/>
    <w:rsid w:val="29F238C3"/>
    <w:rsid w:val="2A1B4A63"/>
    <w:rsid w:val="2A5752D6"/>
    <w:rsid w:val="2AB247B9"/>
    <w:rsid w:val="2B181406"/>
    <w:rsid w:val="2B42499D"/>
    <w:rsid w:val="2B74293B"/>
    <w:rsid w:val="2B805946"/>
    <w:rsid w:val="2BA2292A"/>
    <w:rsid w:val="2BDE73D2"/>
    <w:rsid w:val="2CA53979"/>
    <w:rsid w:val="2D510EC7"/>
    <w:rsid w:val="2EA7355D"/>
    <w:rsid w:val="2EF07129"/>
    <w:rsid w:val="30121496"/>
    <w:rsid w:val="3039573F"/>
    <w:rsid w:val="311D245A"/>
    <w:rsid w:val="316D4A09"/>
    <w:rsid w:val="331E2E42"/>
    <w:rsid w:val="334B58AA"/>
    <w:rsid w:val="33E17AAA"/>
    <w:rsid w:val="356D6ABA"/>
    <w:rsid w:val="35E2650A"/>
    <w:rsid w:val="36704443"/>
    <w:rsid w:val="36935EB0"/>
    <w:rsid w:val="38725135"/>
    <w:rsid w:val="39A840CC"/>
    <w:rsid w:val="3C8F1FD4"/>
    <w:rsid w:val="3CC0368A"/>
    <w:rsid w:val="3CD325C5"/>
    <w:rsid w:val="3E2717D1"/>
    <w:rsid w:val="3E3F114A"/>
    <w:rsid w:val="3E613DFA"/>
    <w:rsid w:val="3E6253B4"/>
    <w:rsid w:val="3EC56AE5"/>
    <w:rsid w:val="3EC8503D"/>
    <w:rsid w:val="3F3B0FCC"/>
    <w:rsid w:val="3F902155"/>
    <w:rsid w:val="3FD341E0"/>
    <w:rsid w:val="3FE51083"/>
    <w:rsid w:val="41492B89"/>
    <w:rsid w:val="4176647B"/>
    <w:rsid w:val="41B24C4F"/>
    <w:rsid w:val="41F56E5E"/>
    <w:rsid w:val="428A1EA2"/>
    <w:rsid w:val="42DF37FA"/>
    <w:rsid w:val="43F860E9"/>
    <w:rsid w:val="451E4A2F"/>
    <w:rsid w:val="45F172C1"/>
    <w:rsid w:val="45F76668"/>
    <w:rsid w:val="46037C0C"/>
    <w:rsid w:val="461C3976"/>
    <w:rsid w:val="49AC733C"/>
    <w:rsid w:val="49EF60DA"/>
    <w:rsid w:val="4A8D45D0"/>
    <w:rsid w:val="4BA449A9"/>
    <w:rsid w:val="4C1256F6"/>
    <w:rsid w:val="4D7220BC"/>
    <w:rsid w:val="4E830CA5"/>
    <w:rsid w:val="4EAF2BE2"/>
    <w:rsid w:val="4F2F0FD2"/>
    <w:rsid w:val="4FA07194"/>
    <w:rsid w:val="4FCF51CE"/>
    <w:rsid w:val="4FDB389A"/>
    <w:rsid w:val="505F0155"/>
    <w:rsid w:val="50875FD3"/>
    <w:rsid w:val="509707F9"/>
    <w:rsid w:val="50BD2394"/>
    <w:rsid w:val="50DB2B43"/>
    <w:rsid w:val="50DE74FF"/>
    <w:rsid w:val="51304DCF"/>
    <w:rsid w:val="525A5877"/>
    <w:rsid w:val="532D3D47"/>
    <w:rsid w:val="53901959"/>
    <w:rsid w:val="53A55DC7"/>
    <w:rsid w:val="542861F0"/>
    <w:rsid w:val="54AA3375"/>
    <w:rsid w:val="566D0377"/>
    <w:rsid w:val="56D40FCE"/>
    <w:rsid w:val="58696D88"/>
    <w:rsid w:val="587E3D3B"/>
    <w:rsid w:val="58EC0774"/>
    <w:rsid w:val="596069B2"/>
    <w:rsid w:val="59903DBC"/>
    <w:rsid w:val="5BFF654E"/>
    <w:rsid w:val="5C865F3D"/>
    <w:rsid w:val="5CED7A32"/>
    <w:rsid w:val="5D343196"/>
    <w:rsid w:val="5DB57801"/>
    <w:rsid w:val="5EE622DA"/>
    <w:rsid w:val="5F006E09"/>
    <w:rsid w:val="5F185998"/>
    <w:rsid w:val="5F3B3BE1"/>
    <w:rsid w:val="61097C96"/>
    <w:rsid w:val="615E5D65"/>
    <w:rsid w:val="618F7502"/>
    <w:rsid w:val="61BA27D8"/>
    <w:rsid w:val="61C55FE1"/>
    <w:rsid w:val="624049F6"/>
    <w:rsid w:val="625413AD"/>
    <w:rsid w:val="626154D5"/>
    <w:rsid w:val="634405C1"/>
    <w:rsid w:val="638214EC"/>
    <w:rsid w:val="638B46C8"/>
    <w:rsid w:val="63913F0D"/>
    <w:rsid w:val="63C12F45"/>
    <w:rsid w:val="63C34AC6"/>
    <w:rsid w:val="64531C29"/>
    <w:rsid w:val="64943D71"/>
    <w:rsid w:val="66390881"/>
    <w:rsid w:val="66D41C46"/>
    <w:rsid w:val="67C223A6"/>
    <w:rsid w:val="683049A7"/>
    <w:rsid w:val="684D3A5E"/>
    <w:rsid w:val="68507F74"/>
    <w:rsid w:val="68D4670F"/>
    <w:rsid w:val="6A022CE0"/>
    <w:rsid w:val="6A6A40A3"/>
    <w:rsid w:val="6C15496D"/>
    <w:rsid w:val="6D815135"/>
    <w:rsid w:val="6DB201D6"/>
    <w:rsid w:val="6DB40665"/>
    <w:rsid w:val="6E29268A"/>
    <w:rsid w:val="713428A8"/>
    <w:rsid w:val="72164D32"/>
    <w:rsid w:val="722603FC"/>
    <w:rsid w:val="72961AC7"/>
    <w:rsid w:val="73F531FC"/>
    <w:rsid w:val="73F676A0"/>
    <w:rsid w:val="774D3A7A"/>
    <w:rsid w:val="776012C2"/>
    <w:rsid w:val="778C12A1"/>
    <w:rsid w:val="78604D2C"/>
    <w:rsid w:val="78685D7F"/>
    <w:rsid w:val="796A41BB"/>
    <w:rsid w:val="7A1D5D53"/>
    <w:rsid w:val="7B201D3A"/>
    <w:rsid w:val="7B5B20B5"/>
    <w:rsid w:val="7B90701D"/>
    <w:rsid w:val="7BEF500A"/>
    <w:rsid w:val="7CD74BCF"/>
    <w:rsid w:val="7D4854E3"/>
    <w:rsid w:val="7D5F2762"/>
    <w:rsid w:val="7DFA19E6"/>
    <w:rsid w:val="7E226FC8"/>
    <w:rsid w:val="7E5937DA"/>
    <w:rsid w:val="7E6913DD"/>
    <w:rsid w:val="7EF2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图注"/>
    <w:basedOn w:val="6"/>
    <w:qFormat/>
    <w:uiPriority w:val="0"/>
    <w:pPr>
      <w:numPr>
        <w:ilvl w:val="0"/>
        <w:numId w:val="0"/>
      </w:numPr>
      <w:ind w:left="425" w:hanging="425"/>
      <w:jc w:val="center"/>
    </w:pPr>
    <w:rPr>
      <w:rFonts w:asciiTheme="minorAscii" w:hAnsiTheme="minorAscii"/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2026-10-14T02:52:00Z</dcterms:created>
  <dc:creator>gaosuqi.p</dc:creator>
  <cp:lastModifiedBy>gaosuqi.p</cp:lastModifiedBy>
  <dcterms:modified xsi:type="dcterms:W3CDTF">2026-10-14T07:48:56Z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533E3070B32F4A09B4CDCFCDE8D4CD33_11</vt:lpwstr>
  </property>
  <property fmtid="{D5CDD505-2E9C-101B-9397-08002B2CF9AE}" pid="4" name="KSOTemplateDocerSaveRecord">
    <vt:lpwstr>eyJoZGlkIjoiOGYxZDRkOWZlZGQ4N2M0ZjQ5NDY3NTQ5NWEwNTBmODQifQ==</vt:lpwstr>
  </property>
</Properties>
</file>