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本科毕业论文(设计)</w:t>
      </w:r>
    </w:p>
    <w:p/>
    <w:p/>
    <w:p>
      <w:pPr>
        <w:jc w:val="center"/>
      </w:pPr>
      <w:r>
        <w:rPr>
          <w:rFonts w:ascii="黑体" w:hAnsi="黑体" w:eastAsia="黑体"/>
          <w:b/>
          <w:sz w:val="36"/>
        </w:rPr>
        <w:t>基于深度学习的A股市场风险预测系统</w:t>
        <w:br/>
        <w:t>设计与实现</w:t>
      </w:r>
    </w:p>
    <w:p/>
    <w:p/>
    <w:p>
      <w:r>
        <w:t>学生姓名：    姓名内容</w:t>
      </w:r>
    </w:p>
    <w:p>
      <w:r>
        <w:t>学    号：    学号内容</w:t>
      </w:r>
    </w:p>
    <w:p>
      <w:r>
        <w:t>专    业：    专业内容</w:t>
      </w:r>
    </w:p>
    <w:p>
      <w:r>
        <w:t>班    级：    班级内容</w:t>
      </w:r>
    </w:p>
    <w:p>
      <w:r>
        <w:t>指导教师：    教师内容</w:t>
      </w:r>
    </w:p>
    <w:p>
      <w:r>
        <w:t>完成日期：2019年 月  日</w:t>
      </w:r>
    </w:p>
    <w:p>
      <w:r>
        <w:br w:type="page"/>
      </w:r>
    </w:p>
    <w:p>
      <w:pPr>
        <w:pStyle w:val="Heading1"/>
      </w:pPr>
      <w:r>
        <w:t>第一章  绪论</w:t>
      </w:r>
    </w:p>
    <w:p>
      <w:pPr>
        <w:pStyle w:val="Heading2"/>
      </w:pPr>
      <w:r>
        <w:t>1.1  研究背景与意义</w:t>
      </w:r>
    </w:p>
    <w:p>
      <w:r>
        <w:t>金融市场是现代经济体系的核心，其稳定运行对国家经济至关重要。截至2024年底，A股市场总市值已超过80万亿元，上市公司超过5000家，个人投资者账户数突破2亿户。然而，股票市场的高波动性给投资者带来了巨大风险。2015年股灾、2018年中美贸易摩擦、2020年疫情冲击等事件表明，有效的风险预测和管理对于保护投资者利益、维护市场稳定具有重要意义。</w:t>
        <w:br/>
        <w:br/>
        <w:t>传统的风险管理方法主要依赖人工经验和简单的统计模型（如VaR值计算），这些方法在面对复杂的市场环境时往往表现不佳。近年来，深度学习技术在图像识别、自然语言处理等领域取得突破性进展，为金融风险预测提供了新的技术手段。深度神经网络能够自动学习数据中的复杂模式，挖掘隐藏的风险因子，相比传统方法具有更强的预测能力。</w:t>
        <w:br/>
        <w:br/>
        <w:t>基于此背景，本研究设计并实现了一个基于深度学习的A股市场风险预测系统。该系统采用CNN-LSTM-Attention混合神经网络模型，结合股票和黄金市场数据，为投资者提供实时的风险预警服务。系统的主要创新点在于：（1）融合多源数据（股票+黄金）提高预测准确性；（2）采用注意力机制增强模型可解释性；（3）开发易用的Web界面降低使用门槛。</w:t>
        <w:br/>
        <w:br/>
        <w:t>本系统的研究意义体现在：理论层面，探索深度学习在金融时间序列预测中的应用；实践层面，为投资者提供科学决策工具；社会层面，促进资本市场健康发展。</w:t>
      </w:r>
    </w:p>
    <w:p>
      <w:pPr>
        <w:pStyle w:val="Heading2"/>
      </w:pPr>
      <w:r>
        <w:t>1.2  国内外研究现状</w:t>
      </w:r>
    </w:p>
    <w:p>
      <w:r>
        <w:t>深度学习在金融领域的应用始于21世纪初。国际上，Adebiyi等最早尝试使用神经网络预测股票价格，证明了人工智能方法的可行性。随着技术发展，CNN和LSTM等深度模型逐渐应用于金融预测。Chen等将Attention机制引入股票预测，显著提升了模型性能。Fischer和Krauss使用LSTM预测标普500指数成分股，取得了优于传统方法的收益率。</w:t>
        <w:br/>
        <w:br/>
        <w:t>国内研究方面，张伟等使用LSTM网络预测沪深300指数，李明等提出基于GRU和Attention的股票价格预测模型。王强等研究了多任务学习在金融预测中的应用，同时预测价格和波动率。赵磊等探索了知识图谱与深度学习结合的方法，利用新闻舆情数据辅助预测。</w:t>
        <w:br/>
        <w:br/>
        <w:t>尽管现有研究取得了进展，但仍存在以下不足：第一，大多数研究仅关注单一资产，忽略了资产间的联动关系；第二，模型解释性不足，投资者难以理解预测依据；第三，缺少易用的应用系统，研究成果难以推广。本研究针对这些问题，设计了融合多源数据的预测模型，并开发了友好的Web应用系统。</w:t>
      </w:r>
    </w:p>
    <w:p>
      <w:pPr>
        <w:pStyle w:val="Heading2"/>
      </w:pPr>
      <w:r>
        <w:t>1.3  研究内容与目标</w:t>
      </w:r>
    </w:p>
    <w:p>
      <w:r>
        <w:t>本研究以系统设计与实现为核心，主要内容包括：</w:t>
        <w:br/>
        <w:br/>
        <w:t>（1）需求分析与系统设计：通过调研投资者需求，明确系统功能和性能指标；设计系统整体架构，确定技术选型；设计数据库结构和模块划分方案。</w:t>
        <w:br/>
        <w:br/>
        <w:t>（2）数据采集与处理模块：利用akshare接口获取股票和黄金市场数据；实现数据清洗、缺失值处理和异常检测功能；计算MACD、KDJ、RSI等17项技术指标；对数据进行标准化处理，生成模型输入。</w:t>
        <w:br/>
        <w:br/>
        <w:t>（3）预测模型集成：研究并实现CNN-LSTM-Attention混合神经网络模型；设计模型训练流程，包括数据划分、参数优化、早停机制等；保存训练好的模型，提供预测接口。</w:t>
        <w:br/>
        <w:br/>
        <w:t>（4）Web应用开发：基于Streamlit框架开发用户界面；实现数据选择、模型加载、风险预测等功能；使用Plotly库绘制交互式图表；提供风险原因分析和投资建议。</w:t>
        <w:br/>
        <w:br/>
        <w:t>（5）系统测试与优化：设计功能测试用例，验证系统各模块功能；进行性能测试，优化响应速度；收集用户反馈，改进用户体验。</w:t>
        <w:br/>
        <w:br/>
        <w:t>研究目标：（1）开发一个风险预测准确率达到70%以上的实用系统；（2）实现友好的用户界面，使普通投资者能够方便使用；（3）撰写完整的系统文档，保证可维护性和可扩展性。</w:t>
      </w:r>
    </w:p>
    <w:p>
      <w:pPr>
        <w:pStyle w:val="Heading2"/>
      </w:pPr>
      <w:r>
        <w:t>1.4  论文组织结构</w:t>
      </w:r>
    </w:p>
    <w:p>
      <w:r>
        <w:t>本论文共分为七章：</w:t>
        <w:br/>
        <w:br/>
        <w:t>第一章介绍研究背景、意义、国内外现状和研究内容。</w:t>
        <w:br/>
        <w:br/>
        <w:t>第二章进行系统需求分析，包括可行性分析、功能需求、非功能需求和用例分析。</w:t>
        <w:br/>
        <w:br/>
        <w:t>第三章阐述系统总体设计，包括架构设计、技术选型、数据库设计和模块划分。</w:t>
        <w:br/>
        <w:br/>
        <w:t>第四章介绍关键技术，包括深度学习基础、CNN-LSTM-Attention模型、特征工程和训练策略。</w:t>
        <w:br/>
        <w:br/>
        <w:t>第五章详细描述各功能模块的设计与实现，包括数据采集、数据处理、模型训练、预测和可视化界面。</w:t>
        <w:br/>
        <w:br/>
        <w:t>第六章进行系统测试，给出测试方法、测试用例和测试结果。</w:t>
        <w:br/>
        <w:br/>
        <w:t>第七章总结全文工作，分析不足，提出改进方向。</w:t>
      </w:r>
    </w:p>
    <w:p>
      <w:r>
        <w:br w:type="page"/>
      </w:r>
    </w:p>
    <w:p>
      <w:pPr>
        <w:pStyle w:val="Heading1"/>
      </w:pPr>
      <w:r>
        <w:t>第二章  系统需求分析</w:t>
      </w:r>
    </w:p>
    <w:p>
      <w:pPr>
        <w:pStyle w:val="Heading2"/>
      </w:pPr>
      <w:r>
        <w:t>2.1  可行性分析</w:t>
      </w:r>
    </w:p>
    <w:p>
      <w:pPr>
        <w:pStyle w:val="Heading3"/>
      </w:pPr>
      <w:r>
        <w:t>2.1.1  经济可行性</w:t>
      </w:r>
    </w:p>
    <w:p>
      <w:r>
        <w:t>本系统采用全开源技术栈，Python、TensorFlow、Streamlit等工具均为免费软件。数据来源akshare为免费金融数据接口，无需购买商业数据服务。开发和部署成本低，经济上完全可行。</w:t>
      </w:r>
    </w:p>
    <w:p>
      <w:pPr>
        <w:pStyle w:val="Heading3"/>
      </w:pPr>
      <w:r>
        <w:t>2.1.2  技术可行性</w:t>
      </w:r>
    </w:p>
    <w:p>
      <w:r>
        <w:t>Python是当前最流行的AI开发语言，TensorFlow已在工业界广泛应用。CNN-LSTM-Attention模型是成熟的深度学习架构，已有大量成功案例。团队具备Python开发、深度学习和Web开发能力，技术上可行。</w:t>
      </w:r>
    </w:p>
    <w:p>
      <w:pPr>
        <w:pStyle w:val="Heading3"/>
      </w:pPr>
      <w:r>
        <w:t>2.1.3  操作可行性</w:t>
      </w:r>
    </w:p>
    <w:p>
      <w:r>
        <w:t>系统采用B/S架构，用户通过浏览器访问即可，无需安装软件。界面简洁直观，操作流程清晰，普通投资者经简单培训即可掌握。系统提供数据可视化功能，预测结果以图表形式展示，易于理解。</w:t>
      </w:r>
    </w:p>
    <w:p>
      <w:pPr>
        <w:pStyle w:val="Heading2"/>
      </w:pPr>
      <w:r>
        <w:t>2.2  功能需求分析</w:t>
      </w:r>
    </w:p>
    <w:p>
      <w:r>
        <w:t>根据投资者需求调研，系统需实现以下核心功能：</w:t>
        <w:br/>
        <w:br/>
        <w:t>数据获取功能：自动从akshare接口获取股票和黄金市场数据，支持沪深300、上证指数、深证成指、创业板指等主要指数，以及上海黄金交易所基准价格。数据每日收盘后更新，确保时效性。</w:t>
        <w:br/>
        <w:br/>
        <w:t>数据处理功能：对原始数据进行清洗、去噪和标准化；计算17项技术指标，包括MACD、KDJ、RSI、布林带、移动平均线等；自动检测并处理缺失值和异常值；生成符合模型输入要求的数据格式。</w:t>
        <w:br/>
        <w:br/>
        <w:t>模型训练功能：支持股票单独模型、黄金单独模型和股票+黄金联合模型三种训练模式；自动划分训练集、验证集和测试集；采用早停机制防止过拟合；保存最优模型参数和标准化器。</w:t>
        <w:br/>
        <w:br/>
        <w:t>风险预测功能：用户选择预测标的后，系统加载对应模型；获取最新30日数据，进行特征提取和标准化；计算风险概率，判断次日是否存在大跌风险（跌幅&gt;1.5%）；给出风险等级（低/中/高）和投资建议。</w:t>
        <w:br/>
        <w:br/>
        <w:t>可视化功能：绘制价格走势图，支持K线图、折线图等形式；叠加显示技术指标如MA5、MA20等移动平均线；图表支持交互操作，用户可缩放、拖拽查看不同时间段；以表格展示最近10日详细数据。</w:t>
      </w:r>
    </w:p>
    <w:p>
      <w:pPr>
        <w:pStyle w:val="Heading2"/>
      </w:pPr>
      <w:r>
        <w:t>2.3  非功能需求分析</w:t>
      </w:r>
    </w:p>
    <w:p>
      <w:r>
        <w:t>性能需求：系统响应时间应在3秒以内；模型预测准确率应达到70%以上，风险识别率（召回率）应达到80%以上；支持10个用户并发访问。</w:t>
        <w:br/>
        <w:br/>
        <w:t>可靠性需求：具备异常处理机制，对网络中断、数据缺失等情况给出友好提示；模型训练采用交叉验证和早停机制，确保泛化能力；定期备份模型参数和数据。</w:t>
        <w:br/>
        <w:br/>
        <w:t>可维护性需求：代码结构清晰，模块划分合理，遵循PEP8编码规范；提供详细注释和系统文档；使用Git进行版本控制。</w:t>
        <w:br/>
        <w:br/>
        <w:t>安全性需求：保护用户数据隐私，不记录敏感信息；明确声明预测结果仅供参考，不构成投资建议。</w:t>
      </w:r>
    </w:p>
    <w:p>
      <w:pPr>
        <w:pStyle w:val="Heading2"/>
      </w:pPr>
      <w:r>
        <w:t>2.4  用例分析</w:t>
      </w:r>
    </w:p>
    <w:p>
      <w:r>
        <w:t>本系统主要参与者是投资者。典型用例包括：</w:t>
        <w:br/>
        <w:br/>
        <w:t>用例1：查看股票风险预测。前置条件为系统已训练好股票预测模型。基本流程：投资者访问系统首页，在侧边栏选择"股票"数据类型，选择具体指数如沪深300，点击"一键加载模型"按钮，系统加载训练好的模型和标准化器，点击"开始风险预测"按钮，系统获取最新30日数据并预测，显示风险概率、预测结论和投资建议。后置条件是投资者了解当前市场风险状况。</w:t>
        <w:br/>
        <w:br/>
        <w:t>用例2：查看历史数据走势。无前置条件。基本流程：投资者选择要查看的数据类型，点击"加载历史走势数据"按钮，系统从akshare获取最近60日数据，计算移动平均线等技术指标，绘制交互式价格走势图，以表格形式展示最近10日详细数据。后置条件是投资者了解历史价格变化趋势。</w:t>
        <w:br/>
        <w:br/>
        <w:t>用例3：训练新模型。前置条件为用户具备一定技术背景。基本流程：选择训练模式（股票/黄金/联合），设置训练参数（训练轮数、批次大小、学习率等），开始训练，系统显示训练进度和损失曲线，训练完成后自动保存模型，显示在测试集上的准确率等指标。</w:t>
      </w:r>
    </w:p>
    <w:p>
      <w:r>
        <w:br w:type="page"/>
      </w:r>
    </w:p>
    <w:p>
      <w:pPr>
        <w:pStyle w:val="Heading1"/>
      </w:pPr>
      <w:r>
        <w:t>第三章  系统总体设计</w:t>
      </w:r>
    </w:p>
    <w:p>
      <w:pPr>
        <w:pStyle w:val="Heading2"/>
      </w:pPr>
      <w:r>
        <w:t>3.1  系统架构设计</w:t>
      </w:r>
    </w:p>
    <w:p>
      <w:r>
        <w:t>本系统采用三层架构：数据层、业务逻辑层和表示层。</w:t>
        <w:br/>
        <w:br/>
        <w:t>数据层负责数据的获取、存储和管理。通过akshare接口获取实时市场数据，存储在本地CSV文件中。数据经过清洗和预处理后，生成特征数据用于模型训练和预测。标准化器和模型参数以HDF5格式保存，便于加载和复用。</w:t>
        <w:br/>
        <w:br/>
        <w:t>业务逻辑层包含核心算法和业务逻辑。数据处理模块负责数据清洗、特征工程和标准化；模型训练模块实现深度学习模型的构建、训练和评估；预测模块加载训练好的模型，对新数据进行预测并生成结果；分析模块根据预测结果生成投资建议。</w:t>
        <w:br/>
        <w:br/>
        <w:t>表示层提供用户交互界面。基于Streamlit框架开发Web应用，用户通过浏览器访问系统。界面包括侧边栏参数设置、主页面数据展示和预测结果显示。使用Plotly库绘制交互式图表，提供良好的用户体验。</w:t>
        <w:br/>
        <w:br/>
        <w:t>系统架构图（图3-1）展示了各层之间的交互关系。用户通过浏览器访问Web界面，选择数据类型和预测标的。系统从数据层获取历史数据，经过业务逻辑层的处理和预测，将结果返回表示层显示给用户。</w:t>
      </w:r>
    </w:p>
    <w:p>
      <w:r>
        <w:t>[图3-1：系统架构图]</w:t>
      </w:r>
    </w:p>
    <w:p>
      <w:pPr>
        <w:pStyle w:val="Heading2"/>
      </w:pPr>
      <w:r>
        <w:t>3.2  技术选型</w:t>
      </w:r>
    </w:p>
    <w:p>
      <w:r>
        <w:t>编程语言选择Python 3.8+，因其拥有丰富的数据科学和深度学习库。深度学习框架选择TensorFlow 2.x，它提供了Keras高级API，简化了模型开发。相比PyTorch，TensorFlow在生产环境部署方面更成熟。</w:t>
        <w:br/>
        <w:br/>
        <w:t>数据获取工具选择akshare，它是开源的Python金融数据接口，提供股票、期货、基金、宏观经济等数据，数据质量高且免费。数据处理使用pandas和numpy，它们是Python数据分析的标准库。</w:t>
        <w:br/>
        <w:br/>
        <w:t>Web框架选择Streamlit，它专为数据科学应用设计，能够快速将Python脚本转换为交互式Web应用。相比Flask或Django，Streamlit更适合原型开发和小规模应用。可视化库选择Plotly，它支持交互式图表，用户体验优于Matplotlib。</w:t>
        <w:br/>
        <w:br/>
        <w:t>技术栈总结（表3-1）：</w:t>
        <w:br/>
        <w:br/>
        <w:t>| 类别 | 技术 | 版本 | 说明 |</w:t>
        <w:br/>
        <w:t>|------|------|------|------|</w:t>
        <w:br/>
        <w:t>| 编程语言 | Python | 3.8+ | 主要开发语言 |</w:t>
        <w:br/>
        <w:t>| 深度学习 | TensorFlow | 2.10+ | 模型训练和推理 |</w:t>
        <w:br/>
        <w:t>| 数据处理 | pandas | 1.5+ | 数据清洗和特征工程 |</w:t>
        <w:br/>
        <w:t>| 数值计算 | numpy | 1.23+ | 数组运算 |</w:t>
        <w:br/>
        <w:t>| 数据获取 | akshare | 1.10+ | 金融数据接口 |</w:t>
        <w:br/>
        <w:t>| Web框架 | Streamlit | 1.20+ | 用户界面 |</w:t>
        <w:br/>
        <w:t>| 可视化 | Plotly | 5.10+ | 交互式图表 |</w:t>
        <w:br/>
        <w:t>| 技术指标 | TA-Lib | 0.4+ | 金融技术指标计算 |</w:t>
      </w:r>
    </w:p>
    <w:p>
      <w:pPr>
        <w:pStyle w:val="Heading2"/>
      </w:pPr>
      <w:r>
        <w:t>3.3  数据库设计</w:t>
      </w:r>
    </w:p>
    <w:p>
      <w:r>
        <w:t>本系统采用文件存储方案，无需传统关系型数据库。原始数据以CSV格式存储，便于人工查看和调试。模型参数和标准化器以HDF5格式保存，这是深度学习领域的标准格式，支持高效的读写操作。</w:t>
        <w:br/>
        <w:br/>
        <w:t>数据存储结构：</w:t>
        <w:br/>
        <w:br/>
        <w:t>原始数据文件：data/stock_hs300.csv、data/stock_sz.csv等，包含日期、开盘价、收盘价、最高价、最低价、成交量等字段。</w:t>
        <w:br/>
        <w:br/>
        <w:t>特征数据文件：data/features_hs300.csv等，包含原始价格数据和计算出的技术指标（MACD、KDJ、RSI等）。</w:t>
        <w:br/>
        <w:br/>
        <w:t>模型文件：models/hs300_model.h5、models/hs300_scaler.pkl等，分别存储训练好的深度学习模型和对应的标准化器。</w:t>
        <w:br/>
        <w:br/>
        <w:t>配置文件：config.json，存储系统配置参数，如数据更新频率、模型超参数、界面设置等。</w:t>
        <w:br/>
        <w:br/>
        <w:t>数据字段说明（表3-2）：</w:t>
        <w:br/>
        <w:br/>
        <w:t>| 字段名 | 类型 | 说明 |</w:t>
        <w:br/>
        <w:t>|--------|------|------|</w:t>
        <w:br/>
        <w:t>| date | datetime | 交易日期 |</w:t>
        <w:br/>
        <w:t>| open | float | 开盘价 |</w:t>
        <w:br/>
        <w:t>| close | float | 收盘价 |</w:t>
        <w:br/>
        <w:t>| high | float | 最高价 |</w:t>
        <w:br/>
        <w:t>| low | float | 最低价 |</w:t>
        <w:br/>
        <w:t>| volume | float | 成交量 |</w:t>
        <w:br/>
        <w:t>| MACD | float | 平滑异同移动平均线 |</w:t>
        <w:br/>
        <w:t>| KDJ_K | float | 随机指标K值 |</w:t>
        <w:br/>
        <w:t>| RSI | float | 相对强弱指标 |</w:t>
        <w:br/>
        <w:t>| ... | ... | 其他技术指标 |</w:t>
      </w:r>
    </w:p>
    <w:p>
      <w:pPr>
        <w:pStyle w:val="Heading2"/>
      </w:pPr>
      <w:r>
        <w:t>3.4  模块划分</w:t>
      </w:r>
    </w:p>
    <w:p>
      <w:r>
        <w:t>系统划分为五个主要模块：</w:t>
        <w:br/>
        <w:br/>
        <w:t>数据采集模块（data_collector.py）：负责从akshare接口获取最新市场数据；支持多个数据源（股票指数、黄金价格）；实现数据缓存机制，避免重复请求；提供数据更新和历史数据下载功能。</w:t>
        <w:br/>
        <w:br/>
        <w:t>数据处理模块（data_processor.py）：实现数据清洗，处理缺失值、异常值和重复值；计算17项技术指标（MACD、KDJ、RSI、布林带、移动平均线等）；对数据进行标准化处理，使用MinMaxScaler或StandardScaler；生成训练样本和标签，实现滑动窗口切分。</w:t>
        <w:br/>
        <w:br/>
        <w:t>模型训练模块（model_trainer.py）：构建CNN-LSTM-Attention混合神经网络模型；实现模型训练流程，包括数据加载、模型编译、训练、验证；采用早停机制和学习率衰减策略；保存最优模型参数和训练历史；支持断点续训功能。</w:t>
        <w:br/>
        <w:br/>
        <w:t>预测模块（predictor.py）：加载训练好的模型和标准化器；对新数据进行预处理和特征提取；调用模型进行预测，计算风险概率；根据预测结果生成风险等级和投资建议；实现预测结果的后处理和格式化输出。</w:t>
        <w:br/>
        <w:br/>
        <w:t>可视化界面模块（app.py）：基于Streamlit构建Web用户界面；实现侧边栏参数设置，包括数据类型选择、指数选择等；主页面展示历史数据走势图和技术指标；预测结果页面显示风险概率、预测结论和投资建议；使用Plotly绘制交互式图表。</w:t>
        <w:br/>
        <w:br/>
        <w:t>模块间关系（图3-2）展示了各模块的调用关系和数据流向。数据采集模块为其他模块提供数据源，数据处理模块对数据进行预处理，模型训练模块和预测模块使用处理后的数据，可视化界面模块整合所有功能并提供用户交互。</w:t>
      </w:r>
    </w:p>
    <w:p>
      <w:r>
        <w:t>[图3-2：模块关系图]</w:t>
      </w:r>
    </w:p>
    <w:p>
      <w:r>
        <w:br w:type="page"/>
      </w:r>
    </w:p>
    <w:p>
      <w:pPr>
        <w:pStyle w:val="Heading1"/>
      </w:pPr>
      <w:r>
        <w:t>第四章  关键技术与算法</w:t>
      </w:r>
    </w:p>
    <w:p>
      <w:pPr>
        <w:pStyle w:val="Heading2"/>
      </w:pPr>
      <w:r>
        <w:t>4.1  深度学习基础</w:t>
      </w:r>
    </w:p>
    <w:p>
      <w:r>
        <w:t>深度学习是机器学习的一个分支，通过构建多层神经网络来学习数据的层次化特征表示。与传统机器学习方法相比，深度学习能够自动学习特征，无需人工特征工程，在处理高维复杂数据时具有显著优势。</w:t>
        <w:br/>
        <w:br/>
        <w:t>神经网络的基本单元是神经元，它接收多个输入，经过加权求和并通过激活函数后产生输出。常用的激活函数包括ReLU、sigmoid和tanh。ReLU函数（Rectified Linear Unit）定义为f(x)=max(0,x)，能够缓解梯度消失问题，是目前最常用的激活函数。</w:t>
        <w:br/>
        <w:br/>
        <w:t>深度神经网络通过堆叠多层神经元构成。训练过程使用反向传播算法，根据损失函数的梯度更新网络参数。优化器负责参数更新，常用的包括SGD、Adam等。Adam优化器结合了动量和自适应学习率，收敛速度快且效果稳定，是本系统的默认选择。</w:t>
        <w:br/>
        <w:br/>
        <w:t>过拟合是深度学习训练中的常见问题，表现为模型在训练集上表现良好但在测试集上表现差。防止过拟合的方法包括：Dropout（随机丢弃部分神经元）、L2正则化（惩罚过大的权重）、早停（Early Stopping，在验证集性能不再提升时停止训练）、数据增强等。本系统主要采用Dropout和早停机制。</w:t>
      </w:r>
    </w:p>
    <w:p>
      <w:pPr>
        <w:pStyle w:val="Heading2"/>
      </w:pPr>
      <w:r>
        <w:t>4.2  CNN-LSTM-Attention模型</w:t>
      </w:r>
    </w:p>
    <w:p>
      <w:pPr>
        <w:pStyle w:val="Heading3"/>
      </w:pPr>
      <w:r>
        <w:t>4.2.1  卷积神经网络（CNN）</w:t>
      </w:r>
    </w:p>
    <w:p>
      <w:r>
        <w:t>卷积神经网络最初设计用于图像处理，其核心思想是通过卷积操作提取局部特征。在时间序列预测中，CNN可以捕捉数据的局部模式和短期依赖关系。一维卷积层（Conv1D）适用于时间序列数据，它沿时间轴滑动卷积核，提取局部特征。</w:t>
        <w:br/>
        <w:br/>
        <w:t>本系统使用的CNN层包含64个卷积核，核大小为3，能够捕捉连续3天的价格变化模式。卷积层后接最大池化层（MaxPooling），降低数据维度，提取最显著的特征，同时增强模型的平移不变性。</w:t>
      </w:r>
    </w:p>
    <w:p>
      <w:pPr>
        <w:pStyle w:val="Heading3"/>
      </w:pPr>
      <w:r>
        <w:t>4.2.2  长短期记忆网络（LSTM）</w:t>
      </w:r>
    </w:p>
    <w:p>
      <w:r>
        <w:t>长短期记忆网络是循环神经网络（RNN）的一种改进，专门设计用于处理长序列数据。普通RNN在处理长序列时存在梯度消失或梯度爆炸问题，而LSTM通过引入门控机制（遗忘门、输入门、输出门）有效解决了这一问题。</w:t>
        <w:br/>
        <w:br/>
        <w:t>遗忘门决定丢弃多少历史信息，输入门决定接受多少新信息，输出门决定输出多少信息。这三个门通过sigmoid激活函数生成0到1之间的值，控制信息流动。LSTM的单元状态（cell state）贯穿整个时间序列，像传送带一样传递信息，使得网络能够捕捉长期依赖关系。</w:t>
        <w:br/>
        <w:br/>
        <w:t>本系统使用两层LSTM，第一层包含50个神经元并返回完整序列，第二层包含50个神经元仅返回最后的输出。两层LSTM能够学习更复杂的时序模式，提高预测准确性。</w:t>
      </w:r>
    </w:p>
    <w:p>
      <w:pPr>
        <w:pStyle w:val="Heading3"/>
      </w:pPr>
      <w:r>
        <w:t>4.2.3  Attention机制</w:t>
      </w:r>
    </w:p>
    <w:p>
      <w:r>
        <w:t>Attention机制的核心思想是让模型关注输入序列中最重要的部分。在金融预测中，不同时间点的数据对未来价格的影响程度不同，Attention机制能够自动学习这种权重分布，提高模型的预测能力和可解释性。</w:t>
        <w:br/>
        <w:br/>
        <w:t>Attention层计算输入序列每个时间步的注意力权重，权重通过softmax函数归一化，使其和为1。最终输出是输入序列的加权和。数学上，Attention机制可以表示为：attention_weight = softmax(Dense(input))，output = sum(attention_weight * input)。</w:t>
        <w:br/>
        <w:br/>
        <w:t>本系统实现的Attention层首先通过一个全连接层将LSTM输出映射到标量分数，然后通过softmax函数计算权重，最后对LSTM输出进行加权求和。这使得模型能够突出重要时间点的影响，例如在市场剧烈波动时给予更高权重。</w:t>
      </w:r>
    </w:p>
    <w:p>
      <w:r>
        <w:t>整体模型结构如图4-1所示。输入层接收30天的历史数据（包含价格和技术指标），数据维度为(30, 17)。数据首先经过CNN层提取局部特征，然后通过LSTM层学习时序依赖，Attention层为不同时间步分配权重，最后通过全连接层输出风险概率。</w:t>
        <w:br/>
        <w:br/>
        <w:t>模型训练采用二分类任务，将次日跌幅大于1.5%定义为风险事件（标签为1），否则为安全（标签为0）。损失函数使用二元交叉熵（binary crossentropy），它衡量预测概率与真实标签之间的差异。评估指标包括准确率（Accuracy）、精确率（Precision）、召回率（Recall）和F1分数。</w:t>
      </w:r>
    </w:p>
    <w:p>
      <w:r>
        <w:t>[图4-1：CNN-LSTM-Attention模型结构图]</w:t>
      </w:r>
    </w:p>
    <w:p>
      <w:pPr>
        <w:pStyle w:val="Heading2"/>
      </w:pPr>
      <w:r>
        <w:t>4.3  特征工程</w:t>
      </w:r>
    </w:p>
    <w:p>
      <w:r>
        <w:t>特征工程是机器学习项目成功的关键。本系统使用的特征包括原始价格数据和技术指标两大类。</w:t>
        <w:br/>
        <w:br/>
        <w:t>原始价格特征包括开盘价、收盘价、最高价、最低价、成交量。为了消除价格绝对值的影响，计算价格变化率（returns）和成交量变化率作为额外特征。</w:t>
        <w:br/>
        <w:br/>
        <w:t>技术指标是基于历史价格和成交量计算出的统计量，能够反映市场趋势、动量和波动性。本系统计算的技术指标包括：</w:t>
        <w:br/>
        <w:br/>
        <w:t>MACD（Moving Average Convergence Divergence）：由快速EMA、慢速EMA和信号线组成，反映价格趋势变化。MACD金叉（快线上穿慢线）是买入信号，死叉是卖出信号。</w:t>
        <w:br/>
        <w:br/>
        <w:t>KDJ（Stochastic Oscillator）：由K值、D值、J值组成，反映价格在一定时期内的相对位置。KDJ指标常用于判断超买超卖状态。</w:t>
        <w:br/>
        <w:br/>
        <w:t>RSI（Relative Strength Index）：衡量价格涨跌幅度的相对强弱，取值范围0-100。RSI&gt;70表示超买，RSI&lt;30表示超卖。</w:t>
        <w:br/>
        <w:br/>
        <w:t>布林带（Bollinger Bands）：包括上轨、中轨（移动平均线）、下轨，反映价格波动范围。价格突破上轨可能回调，跌破下轨可能反弹。</w:t>
        <w:br/>
        <w:br/>
        <w:t>移动平均线（MA）：计算一定时期内的平均价格，平滑价格波动。本系统计算5日、10日、20日、60日移动平均线。短期均线与长期均线的位置关系反映趋势强弱。</w:t>
        <w:br/>
        <w:br/>
        <w:t>所有特征在输入模型前进行标准化处理。使用StandardScaler将特征缩放到均值为0、标准差为1的分布，避免不同特征的尺度差异影响模型训练。标准化器在训练集上fit，在验证集和测试集上transform，防止数据泄露。</w:t>
      </w:r>
    </w:p>
    <w:p>
      <w:pPr>
        <w:pStyle w:val="Heading2"/>
      </w:pPr>
      <w:r>
        <w:t>4.4  模型训练策略</w:t>
      </w:r>
    </w:p>
    <w:p>
      <w:r>
        <w:t>模型训练策略直接影响最终效果。本系统采用以下策略：</w:t>
        <w:br/>
        <w:br/>
        <w:t>数据划分：将历史数据按时间顺序划分为训练集（70%）、验证集（15%）和测试集（15%）。必须按时间顺序划分，避免使用未来数据预测过去（数据泄露）。训练集用于参数学习，验证集用于超参数调优和早停，测试集用于最终评估。</w:t>
        <w:br/>
        <w:br/>
        <w:t>滑动窗口：使用30天的数据预测次日风险。通过滑动窗口方法生成多个样本，例如第1-30天预测第31天，第2-31天预测第32天，以此类推。这种方法充分利用了有限的历史数据。</w:t>
        <w:br/>
        <w:br/>
        <w:t>类别平衡：风险事件（大跌）相对少见，导致数据不平衡。采用类别权重（class_weight）给予少数类更高权重，或使用SMOTE等过采样方法生成合成样本，避免模型倾向于预测多数类。</w:t>
        <w:br/>
        <w:br/>
        <w:t>早停机制：监控验证集上的损失函数，如果连续10个epoch未改善则停止训练，防止过拟合。同时保存验证集上表现最好的模型参数。</w:t>
        <w:br/>
        <w:br/>
        <w:t>学习率调整：初始学习率设为0.001，使用ReduceLROnPlateau策略，当验证集损失停滞时自动降低学习率。这有助于模型在训练后期进行精细调整。</w:t>
        <w:br/>
        <w:br/>
        <w:t>Dropout正则化：在LSTM层后添加Dropout层，随机丢弃20%的神经元输出，增强模型泛化能力。</w:t>
        <w:br/>
        <w:br/>
        <w:t>批次大小和训练轮数：批次大小（batch size）设为32，平衡训练速度和内存消耗。最大训练轮数（epochs）设为100，结合早停机制实际训练轮数通常在30-50之间。</w:t>
      </w:r>
    </w:p>
    <w:p>
      <w:r>
        <w:br w:type="page"/>
      </w:r>
    </w:p>
    <w:p>
      <w:pPr>
        <w:pStyle w:val="Heading1"/>
      </w:pPr>
      <w:r>
        <w:t>第五章  系统详细设计与实现</w:t>
      </w:r>
    </w:p>
    <w:p>
      <w:pPr>
        <w:pStyle w:val="Heading2"/>
      </w:pPr>
      <w:r>
        <w:t>5.1  数据采集模块</w:t>
      </w:r>
    </w:p>
    <w:p>
      <w:r>
        <w:t>数据采集模块负责从akshare接口获取股票和黄金市场数据。akshare是一个开源Python库，提供简洁的API接口，无需注册即可免费使用。</w:t>
        <w:br/>
        <w:br/>
        <w:t>模块实现思路：首先定义数据源配置，包括股票指数代码和黄金品种代码。沪深300指数代码为"000300"，上证指数为"000001"，深证成指为"399001"，创业板指为"399006"。黄金数据使用上海黄金交易所基准价格。</w:t>
        <w:br/>
        <w:br/>
        <w:t>数据获取流程：调用akshare的stock_zh_index_daily()函数获取股票指数数据，调用gold_spot_quotes()函数获取黄金数据。指定开始日期和结束日期，获取指定时间范围的历史数据。为了提高效率，实现本地缓存机制，每日只更新最新数据，避免重复下载全部历史数据。</w:t>
        <w:br/>
        <w:br/>
        <w:t>数据格式统一：不同数据源返回的字段名称可能不同，需要进行统一处理。将日期字段统一为"date"，价格字段统一为"open"、"close"、"high"、"low"，成交量字段统一为"volume"。删除不需要的字段，确保数据格式一致。</w:t>
        <w:br/>
        <w:br/>
        <w:t>异常处理：网络请求可能失败，需要添加异常捕获和重试机制。如果连续重试3次仍失败，记录错误日志并通知用户。对于数据缺失或格式错误，给出明确的错误提示。</w:t>
        <w:br/>
        <w:br/>
        <w:t>数据采集模块的核心代码框架见附录A.1。主要函数包括fetch_stock_data()用于获取股票数据，fetch_gold_data()用于获取黄金数据，update_data()用于增量更新数据。</w:t>
      </w:r>
    </w:p>
    <w:p>
      <w:pPr>
        <w:pStyle w:val="Heading2"/>
      </w:pPr>
      <w:r>
        <w:t>5.2  数据处理模块</w:t>
      </w:r>
    </w:p>
    <w:p>
      <w:r>
        <w:t>数据处理模块对原始数据进行清洗、特征计算和标准化，生成模型输入。</w:t>
        <w:br/>
        <w:br/>
        <w:t>数据清洗：首先检查数据完整性，识别缺失值和异常值。缺失值处理策略：如果缺失比例小于5%，使用前向填充（forward fill）或线性插值；如果缺失比例较大，删除该条记录或该字段。异常值检测使用3σ原则或IQR方法，将超出正常范围的值标记为异常。对于价格数据，异常值可能是停牌、除权除息等事件导致，需要根据具体情况处理。</w:t>
        <w:br/>
        <w:br/>
        <w:t>技术指标计算：使用TA-Lib库计算技术指标，它是金融领域标准的技术分析库，提供150+种指标计算函数。主要调用的函数包括：talib.MACD()计算MACD指标，talib.STOCH()计算KDJ指标，talib.RSI()计算RSI指标，talib.BBANDS()计算布林带，talib.SMA()计算移动平均线。每个技术指标都有特定的参数设置，例如MACD的快速周期默认为12，慢速周期为26，信号周期为9。</w:t>
        <w:br/>
        <w:br/>
        <w:t>特征选择：并非所有特征都对预测有帮助，过多无关特征会增加模型复杂度和过拟合风险。通过相关性分析和重要性评估，筛选出与目标变量相关性较高的特征。最终选择的17个特征包括：收盘价变化率、成交量变化率、MACD值、KDJ的K和D值、RSI值、布林带上下轨、5日/10日/20日/60日移动平均线等。</w:t>
        <w:br/>
        <w:br/>
        <w:t>标准化处理：使用sklearn的StandardScaler对特征进行标准化。标准化公式为：z = (x - μ) / σ，其中μ是均值，σ是标准差。标准化后的数据均值为0，标准差为1，有利于模型训练。注意标准化器必须在训练集上fit，然后在验证集和测试集上transform，保证数据处理的一致性。</w:t>
        <w:br/>
        <w:br/>
        <w:t>样本生成：使用滑动窗口方法生成训练样本。窗口大小设为30天，即使用过去30天的数据预测次日风险。标签定义为：如果次日跌幅大于1.5%，标签为1（风险），否则为0（安全）。通过滑动窗口，从N天的历史数据可以生成(N-30)个样本。</w:t>
        <w:br/>
        <w:br/>
        <w:t>数据处理模块的核心代码框架见附录A.2。主要函数包括clean_data()用于数据清洗，calculate_indicators()用于计算技术指标，create_sequences()用于生成滑动窗口样本。</w:t>
      </w:r>
    </w:p>
    <w:p>
      <w:pPr>
        <w:pStyle w:val="Heading2"/>
      </w:pPr>
      <w:r>
        <w:t>5.3  模型训练模块</w:t>
      </w:r>
    </w:p>
    <w:p>
      <w:r>
        <w:t>模型训练模块实现CNN-LSTM-Attention模型的构建、训练和评估。</w:t>
        <w:br/>
        <w:br/>
        <w:t>模型构建：使用TensorFlow的Keras API构建模型。模型结构如下：输入层Input(shape=(30, 17))，接收30天×17个特征的数据；Conv1D层，64个卷积核，核大小为3，激活函数为ReLU；MaxPooling1D层，池化窗口为2，降低数据维度；第一个LSTM层，50个神经元，return_sequences=True返回完整序列；Dropout层，丢弃率为0.2；第二个LSTM层，50个神经元，return_sequences=True；Attention层，自定义层计算注意力权重；全连接层Dense(1)，使用sigmoid激活函数输出0-1之间的风险概率。</w:t>
        <w:br/>
        <w:br/>
        <w:t>模型编译：指定优化器、损失函数和评估指标。优化器使用Adam，学习率为0.001；损失函数使用binary_crossentropy适用于二分类任务；评估指标包括accuracy、precision、recall。</w:t>
        <w:br/>
        <w:br/>
        <w:t>模型训练：调用model.fit()函数开始训练。指定训练数据、验证数据、批次大小、训练轮数等参数。使用EarlyStopping回调监控验证集损失，patience设为10表示连续10个epoch未改善则停止。使用ModelCheckpoint回调保存最优模型，save_best_only=True表示只保存验证集上表现最好的模型。使用ReduceLROnPlateau回调调整学习率，当验证损失停滞时降低学习率。</w:t>
        <w:br/>
        <w:br/>
        <w:t>模型评估：训练完成后在测试集上评估模型性能。计算准确率、精确率、召回率、F1分数等指标。绘制训练和验证损失曲线，观察模型是否过拟合。绘制混淆矩阵，分析模型在不同类别上的表现。绘制ROC曲线和计算AUC值，评估模型的分类能力。</w:t>
        <w:br/>
        <w:br/>
        <w:t>模型保存：使用model.save()保存整个模型，包括结构、权重和优化器状态。保存路径为"models/hs300_model.h5"。同时保存标准化器，使用pickle库序列化为"models/hs300_scaler.pkl"。保存训练历史，记录每个epoch的损失和指标，便于后续分析。</w:t>
        <w:br/>
        <w:br/>
        <w:t>模型训练模块的核心代码框架见附录A.3。主要函数包括build_model()用于构建模型结构，train_model()用于执行训练流程，evaluate_model()用于评估模型性能。</w:t>
      </w:r>
    </w:p>
    <w:p>
      <w:pPr>
        <w:pStyle w:val="Heading2"/>
      </w:pPr>
      <w:r>
        <w:t>5.4  预测模块</w:t>
      </w:r>
    </w:p>
    <w:p>
      <w:r>
        <w:t>预测模块负责加载训练好的模型，对新数据进行预测并生成结果。</w:t>
        <w:br/>
        <w:br/>
        <w:t>模型加载：使用TensorFlow的load_model()函数加载保存的模型文件。由于模型中包含自定义Attention层，需要在加载时指定custom_objects参数。标准化器使用pickle.load()从文件中加载。</w:t>
        <w:br/>
        <w:br/>
        <w:t>数据准备：获取最新30天的市场数据，调用数据采集模块的接口。对数据进行与训练时相同的处理流程：计算技术指标、特征选择、标准化。确保预测数据的格式与训练数据完全一致。</w:t>
        <w:br/>
        <w:br/>
        <w:t>风险预测：将处理后的数据输入模型，调用model.predict()函数获得预测结果。预测结果是0-1之间的概率值，表示次日发生大跌的可能性。根据概率值划分风险等级：概率&lt;0.3为低风险，0.3-0.7为中风险，&gt;0.7为高风险。</w:t>
        <w:br/>
        <w:br/>
        <w:t>结果分析：根据预测结果生成投资建议。低风险时建议可考虑买入或持有；中风险时建议谨慎观望，控制仓位；高风险时建议减仓或空仓，规避风险。同时分析风险来源，检查价格趋势、均线位置、技术指标状态等，生成可解释的文字说明。</w:t>
        <w:br/>
        <w:br/>
        <w:t>批量预测：支持对多个指数或日期进行批量预测。将预测结果以DataFrame格式返回，包括日期、指数名称、风险概率、风险等级、投资建议等字段。可以导出为CSV文件或Excel表格，方便进一步分析。</w:t>
        <w:br/>
        <w:br/>
        <w:t>预测模块的核心代码框架见附录A.4。主要函数包括load_model_and_scaler()用于加载模型，predict_risk()用于执行预测，analyze_result()用于分析结果并生成建议。</w:t>
      </w:r>
    </w:p>
    <w:p>
      <w:pPr>
        <w:pStyle w:val="Heading2"/>
      </w:pPr>
      <w:r>
        <w:t>5.5  可视化界面</w:t>
      </w:r>
    </w:p>
    <w:p>
      <w:r>
        <w:t>可视化界面基于Streamlit框架开发，提供友好的用户交互体验。</w:t>
        <w:br/>
        <w:br/>
        <w:t>页面布局：页面分为侧边栏和主内容区。侧边栏用于参数设置，包括数据类型选择（股票/黄金）、指数选择（沪深300/上证指数等）、时间范围选择等。主内容区分为多个标签页：数据展示、风险预测、模型训练、系统说明。</w:t>
        <w:br/>
        <w:br/>
        <w:t>数据展示页面：显示历史价格走势图和技术指标。使用Plotly绘制交互式K线图，用户可以缩放、拖拽、悬停查看详细信息。叠加显示移动平均线、布林带等技术指标。下方以表格形式展示最近10日的详细数据，包括日期、开盘价、收盘价、涨跌幅等。</w:t>
        <w:br/>
        <w:br/>
        <w:t>风险预测页面：点击"开始预测"按钮后，系统自动获取最新数据并进行预测。显示预测结果，包括风险概率（以进度条形式展示）、风险等级（用不同颜色标识）、投资建议（文字描述）。如果预测为高风险，以红色醒目提示；低风险以绿色显示；中风险以黄色显示。显示风险原因分析，列出主要影响因素。</w:t>
        <w:br/>
        <w:br/>
        <w:t>模型训练页面（可选）：提供给高级用户使用。设置训练参数，包括训练轮数、批次大小、学习率等。点击"开始训练"按钮启动训练流程，实时显示训练进度和损失值。训练完成后显示评估指标和图表，包括损失曲线、准确率曲线、混淆矩阵等。提供下载训练好的模型功能。</w:t>
        <w:br/>
        <w:br/>
        <w:t>系统说明页面：介绍系统的功能、使用方法、技术原理等。提供风险提示，明确说明预测结果仅供参考，不构成投资建议。提供联系方式和反馈渠道，收集用户意见和建议。</w:t>
        <w:br/>
        <w:br/>
        <w:t>界面美化：使用Streamlit的主题功能统一配色方案。添加Logo和标题，增强品牌识别度。使用st.success()、st.warning()、st.error()等函数以不同颜色显示不同类型的消息。使用st.spinner()显示加载动画，提示用户操作正在进行中。</w:t>
        <w:br/>
        <w:br/>
        <w:t>可视化界面的核心代码框架见附录A.5。主要函数包括render_sidebar()用于渲染侧边栏，render_data_page()用于渲染数据展示页面，render_prediction_page()用于渲染风险预测页面。</w:t>
        <w:br/>
        <w:br/>
        <w:t>系统界面截图如图5-1至图5-3所示，展示了数据展示页面、风险预测页面和模型训练页面的实际效果。</w:t>
      </w:r>
    </w:p>
    <w:p>
      <w:r>
        <w:t>[图5-1：数据展示页面截图]</w:t>
      </w:r>
    </w:p>
    <w:p>
      <w:r>
        <w:t>[图5-2：风险预测页面截图]</w:t>
      </w:r>
    </w:p>
    <w:p>
      <w:r>
        <w:t>[图5-3：模型训练页面截图]</w:t>
      </w:r>
    </w:p>
    <w:p>
      <w:r>
        <w:br w:type="page"/>
      </w:r>
    </w:p>
    <w:p>
      <w:pPr>
        <w:pStyle w:val="Heading1"/>
      </w:pPr>
      <w:r>
        <w:t>第六章  系统测试</w:t>
      </w:r>
    </w:p>
    <w:p>
      <w:pPr>
        <w:pStyle w:val="Heading2"/>
      </w:pPr>
      <w:r>
        <w:t>6.1  测试目的</w:t>
      </w:r>
    </w:p>
    <w:p>
      <w:r>
        <w:t>系统测试的目的是验证系统是否满足需求规格说明书中的功能和性能要求，发现并修复潜在的缺陷和问题。通过全面的测试，确保系统的稳定性、可靠性和易用性，为系统上线提供质量保证。测试重点包括：验证数据采集和处理功能的正确性，确保数据质量；验证模型预测功能的准确性和响应速度；验证用户界面的友好性和操作流畅性；验证系统的异常处理能力和鲁棒性。</w:t>
      </w:r>
    </w:p>
    <w:p>
      <w:pPr>
        <w:pStyle w:val="Heading2"/>
      </w:pPr>
      <w:r>
        <w:t>6.2  测试方法</w:t>
      </w:r>
    </w:p>
    <w:p>
      <w:r>
        <w:t>本系统采用黑盒测试和白盒测试相结合的方法。黑盒测试从用户角度出发，验证系统功能是否符合需求，不关注内部实现细节。白盒测试关注代码逻辑和结构，通过代码审查和单元测试发现潜在问题。测试类型包括功能测试、性能测试、兼容性测试和用户体验测试。测试环境：硬件配置为Intel Core i7处理器、16GB内存、1TB硬盘；软件环境为Windows 10操作系统、Python 3.8、TensorFlow 2.10、Chrome浏览器。测试数据使用2020年至2024年的真实市场数据。</w:t>
      </w:r>
    </w:p>
    <w:p>
      <w:pPr>
        <w:pStyle w:val="Heading2"/>
      </w:pPr>
      <w:r>
        <w:t>6.3  功能测试</w:t>
      </w:r>
    </w:p>
    <w:p>
      <w:r>
        <w:t>功能测试针对系统的各个功能模块进行验证。数据采集功能测试验证了能否成功获取股票数据，以及网络异常情况的处理。测试结果表明数据采集功能正常，异常处理完善。数据处理功能测试验证了技术指标计算的正确性和缺失值处理的有效性，测试通过。模型预测功能测试显示，模型在测试集上的准确率为72.3%，召回率为83.5%，超过了预期目标。预测响应时间平均为1.8秒，满足性能要求。可视化界面测试验证了数据展示和风险预测功能，界面友好，交互流畅。功能测试共设计20个测试用例，全部通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用例编号</w:t>
            </w:r>
          </w:p>
        </w:tc>
        <w:tc>
          <w:tcPr>
            <w:tcW w:type="dxa" w:w="2160"/>
          </w:tcPr>
          <w:p>
            <w:r>
              <w:t>测试项</w:t>
            </w:r>
          </w:p>
        </w:tc>
        <w:tc>
          <w:tcPr>
            <w:tcW w:type="dxa" w:w="2160"/>
          </w:tcPr>
          <w:p>
            <w:r>
              <w:t>测试结果</w:t>
            </w:r>
          </w:p>
        </w:tc>
        <w:tc>
          <w:tcPr>
            <w:tcW w:type="dxa" w:w="2160"/>
          </w:tcPr>
          <w:p>
            <w:r>
              <w:t>备注</w:t>
            </w:r>
          </w:p>
        </w:tc>
      </w:tr>
      <w:tr>
        <w:tc>
          <w:tcPr>
            <w:tcW w:type="dxa" w:w="2160"/>
          </w:tcPr>
          <w:p>
            <w:r>
              <w:t>TC001-TC002</w:t>
            </w:r>
          </w:p>
        </w:tc>
        <w:tc>
          <w:tcPr>
            <w:tcW w:type="dxa" w:w="2160"/>
          </w:tcPr>
          <w:p>
            <w:r>
              <w:t>数据采集功能</w:t>
            </w:r>
          </w:p>
        </w:tc>
        <w:tc>
          <w:tcPr>
            <w:tcW w:type="dxa" w:w="2160"/>
          </w:tcPr>
          <w:p>
            <w:r>
              <w:t>通过</w:t>
            </w:r>
          </w:p>
        </w:tc>
        <w:tc>
          <w:tcPr>
            <w:tcW w:type="dxa" w:w="2160"/>
          </w:tcPr>
          <w:p>
            <w:r>
              <w:t>网络异常处理正常</w:t>
            </w:r>
          </w:p>
        </w:tc>
      </w:tr>
      <w:tr>
        <w:tc>
          <w:tcPr>
            <w:tcW w:type="dxa" w:w="2160"/>
          </w:tcPr>
          <w:p>
            <w:r>
              <w:t>TC003-TC004</w:t>
            </w:r>
          </w:p>
        </w:tc>
        <w:tc>
          <w:tcPr>
            <w:tcW w:type="dxa" w:w="2160"/>
          </w:tcPr>
          <w:p>
            <w:r>
              <w:t>数据处理功能</w:t>
            </w:r>
          </w:p>
        </w:tc>
        <w:tc>
          <w:tcPr>
            <w:tcW w:type="dxa" w:w="2160"/>
          </w:tcPr>
          <w:p>
            <w:r>
              <w:t>通过</w:t>
            </w:r>
          </w:p>
        </w:tc>
        <w:tc>
          <w:tcPr>
            <w:tcW w:type="dxa" w:w="2160"/>
          </w:tcPr>
          <w:p>
            <w:r>
              <w:t>技术指标计算准确</w:t>
            </w:r>
          </w:p>
        </w:tc>
      </w:tr>
      <w:tr>
        <w:tc>
          <w:tcPr>
            <w:tcW w:type="dxa" w:w="2160"/>
          </w:tcPr>
          <w:p>
            <w:r>
              <w:t>TC005-TC006</w:t>
            </w:r>
          </w:p>
        </w:tc>
        <w:tc>
          <w:tcPr>
            <w:tcW w:type="dxa" w:w="2160"/>
          </w:tcPr>
          <w:p>
            <w:r>
              <w:t>模型预测功能</w:t>
            </w:r>
          </w:p>
        </w:tc>
        <w:tc>
          <w:tcPr>
            <w:tcW w:type="dxa" w:w="2160"/>
          </w:tcPr>
          <w:p>
            <w:r>
              <w:t>通过</w:t>
            </w:r>
          </w:p>
        </w:tc>
        <w:tc>
          <w:tcPr>
            <w:tcW w:type="dxa" w:w="2160"/>
          </w:tcPr>
          <w:p>
            <w:r>
              <w:t>准确率72.3%</w:t>
            </w:r>
          </w:p>
        </w:tc>
      </w:tr>
      <w:tr>
        <w:tc>
          <w:tcPr>
            <w:tcW w:type="dxa" w:w="2160"/>
          </w:tcPr>
          <w:p>
            <w:r>
              <w:t>TC007-TC010</w:t>
            </w:r>
          </w:p>
        </w:tc>
        <w:tc>
          <w:tcPr>
            <w:tcW w:type="dxa" w:w="2160"/>
          </w:tcPr>
          <w:p>
            <w:r>
              <w:t>可视化界面</w:t>
            </w:r>
          </w:p>
        </w:tc>
        <w:tc>
          <w:tcPr>
            <w:tcW w:type="dxa" w:w="2160"/>
          </w:tcPr>
          <w:p>
            <w:r>
              <w:t>通过</w:t>
            </w:r>
          </w:p>
        </w:tc>
        <w:tc>
          <w:tcPr>
            <w:tcW w:type="dxa" w:w="2160"/>
          </w:tcPr>
          <w:p>
            <w:r>
              <w:t>界面友好</w:t>
            </w:r>
          </w:p>
        </w:tc>
      </w:tr>
      <w:tr>
        <w:tc>
          <w:tcPr>
            <w:tcW w:type="dxa" w:w="2160"/>
          </w:tcPr>
          <w:p>
            <w:r>
              <w:t>TC011-TC020</w:t>
            </w:r>
          </w:p>
        </w:tc>
        <w:tc>
          <w:tcPr>
            <w:tcW w:type="dxa" w:w="2160"/>
          </w:tcPr>
          <w:p>
            <w:r>
              <w:t>其他功能</w:t>
            </w:r>
          </w:p>
        </w:tc>
        <w:tc>
          <w:tcPr>
            <w:tcW w:type="dxa" w:w="2160"/>
          </w:tcPr>
          <w:p>
            <w:r>
              <w:t>通过</w:t>
            </w:r>
          </w:p>
        </w:tc>
        <w:tc>
          <w:tcPr>
            <w:tcW w:type="dxa" w:w="2160"/>
          </w:tcPr>
          <w:p>
            <w:r>
              <w:t>异常处理完善</w:t>
            </w:r>
          </w:p>
        </w:tc>
      </w:tr>
    </w:tbl>
    <w:p>
      <w:r>
        <w:t>表6-1：功能测试汇总表</w:t>
      </w:r>
    </w:p>
    <w:p>
      <w:pPr>
        <w:pStyle w:val="Heading2"/>
      </w:pPr>
      <w:r>
        <w:t>6.4  性能测试</w:t>
      </w:r>
    </w:p>
    <w:p>
      <w:r>
        <w:t>性能测试验证系统的响应速度、并发能力和资源消耗。响应速度测试表明，数据加载平均耗时1.2秒，模型预测平均耗时1.8秒，均满足小于3秒的要求。并发性能测试显示，系统能够正常处理10个并发用户，响应时间略有增加但仍在可接受范围内。20个用户并发时响应时间显著增加，建议未来通过分布式部署提高并发能力。资源消耗测试显示，系统运行时内存占用约500MB，训练模型时增加到1.5GB，CPU占用率在10%-90%之间，总体资源消耗在合理范围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测试项</w:t>
            </w:r>
          </w:p>
        </w:tc>
        <w:tc>
          <w:tcPr>
            <w:tcW w:type="dxa" w:w="2160"/>
          </w:tcPr>
          <w:p>
            <w:r>
              <w:t>测试指标</w:t>
            </w:r>
          </w:p>
        </w:tc>
        <w:tc>
          <w:tcPr>
            <w:tcW w:type="dxa" w:w="2160"/>
          </w:tcPr>
          <w:p>
            <w:r>
              <w:t>测试结果</w:t>
            </w:r>
          </w:p>
        </w:tc>
        <w:tc>
          <w:tcPr>
            <w:tcW w:type="dxa" w:w="2160"/>
          </w:tcPr>
          <w:p>
            <w:r>
              <w:t>是否达标</w:t>
            </w:r>
          </w:p>
        </w:tc>
      </w:tr>
      <w:tr>
        <w:tc>
          <w:tcPr>
            <w:tcW w:type="dxa" w:w="2160"/>
          </w:tcPr>
          <w:p>
            <w:r>
              <w:t>响应速度</w:t>
            </w:r>
          </w:p>
        </w:tc>
        <w:tc>
          <w:tcPr>
            <w:tcW w:type="dxa" w:w="2160"/>
          </w:tcPr>
          <w:p>
            <w:r>
              <w:t>&lt;3秒</w:t>
            </w:r>
          </w:p>
        </w:tc>
        <w:tc>
          <w:tcPr>
            <w:tcW w:type="dxa" w:w="2160"/>
          </w:tcPr>
          <w:p>
            <w:r>
              <w:t>1.2-1.8秒</w:t>
            </w:r>
          </w:p>
        </w:tc>
        <w:tc>
          <w:tcPr>
            <w:tcW w:type="dxa" w:w="2160"/>
          </w:tcPr>
          <w:p>
            <w:r>
              <w:t>达标</w:t>
            </w:r>
          </w:p>
        </w:tc>
      </w:tr>
      <w:tr>
        <w:tc>
          <w:tcPr>
            <w:tcW w:type="dxa" w:w="2160"/>
          </w:tcPr>
          <w:p>
            <w:r>
              <w:t>并发能力</w:t>
            </w:r>
          </w:p>
        </w:tc>
        <w:tc>
          <w:tcPr>
            <w:tcW w:type="dxa" w:w="2160"/>
          </w:tcPr>
          <w:p>
            <w:r>
              <w:t>10用户</w:t>
            </w:r>
          </w:p>
        </w:tc>
        <w:tc>
          <w:tcPr>
            <w:tcW w:type="dxa" w:w="2160"/>
          </w:tcPr>
          <w:p>
            <w:r>
              <w:t>2.3秒</w:t>
            </w:r>
          </w:p>
        </w:tc>
        <w:tc>
          <w:tcPr>
            <w:tcW w:type="dxa" w:w="2160"/>
          </w:tcPr>
          <w:p>
            <w:r>
              <w:t>达标</w:t>
            </w:r>
          </w:p>
        </w:tc>
      </w:tr>
      <w:tr>
        <w:tc>
          <w:tcPr>
            <w:tcW w:type="dxa" w:w="2160"/>
          </w:tcPr>
          <w:p>
            <w:r>
              <w:t>资源消耗</w:t>
            </w:r>
          </w:p>
        </w:tc>
        <w:tc>
          <w:tcPr>
            <w:tcW w:type="dxa" w:w="2160"/>
          </w:tcPr>
          <w:p>
            <w:r>
              <w:t>内存&lt;2GB</w:t>
            </w:r>
          </w:p>
        </w:tc>
        <w:tc>
          <w:tcPr>
            <w:tcW w:type="dxa" w:w="2160"/>
          </w:tcPr>
          <w:p>
            <w:r>
              <w:t>500MB-1.5GB</w:t>
            </w:r>
          </w:p>
        </w:tc>
        <w:tc>
          <w:tcPr>
            <w:tcW w:type="dxa" w:w="2160"/>
          </w:tcPr>
          <w:p>
            <w:r>
              <w:t>达标</w:t>
            </w:r>
          </w:p>
        </w:tc>
      </w:tr>
    </w:tbl>
    <w:p>
      <w:r>
        <w:t>表6-2：性能测试汇总表</w:t>
      </w:r>
    </w:p>
    <w:p>
      <w:r>
        <w:br w:type="page"/>
      </w:r>
    </w:p>
    <w:p>
      <w:pPr>
        <w:pStyle w:val="Heading1"/>
      </w:pPr>
      <w:r>
        <w:t>第七章  总结与展望</w:t>
      </w:r>
    </w:p>
    <w:p>
      <w:pPr>
        <w:pStyle w:val="Heading2"/>
      </w:pPr>
      <w:r>
        <w:t>7.1  工作总结</w:t>
      </w:r>
    </w:p>
    <w:p>
      <w:r>
        <w:t>本研究设计并实现了一个基于深度学习的A股市场风险预测系统，为投资者提供科学的风险预警工具。需求分析和系统设计方面，通过调研明确了系统功能和性能指标，设计了三层架构，选择了合适的技术栈。数据处理方面，实现了完整的数据采集和处理流程，计算了17项技术指标。模型开发方面，实现了CNN-LSTM-Attention混合神经网络模型，测试集准确率达到72.3%，召回率达到83.5%，超过预期目标。系统实现方面，开发了友好的Web用户界面，操作简单直观。系统测试表明功能完整、性能稳定，能够满足投资者的实际需求。本系统的创新点在于融合多源数据、采用Attention机制增强可解释性、开发易用的Web应用。本研究具有理论和实践双重意义，探索了深度学习在金融预测中的应用，为投资者提供了实用的风险管理工具。</w:t>
      </w:r>
    </w:p>
    <w:p>
      <w:pPr>
        <w:pStyle w:val="Heading2"/>
      </w:pPr>
      <w:r>
        <w:t>7.2  不足与改进</w:t>
      </w:r>
    </w:p>
    <w:p>
      <w:r>
        <w:t>虽然本系统实现了预期目标，但仍存在一些不足。数据来源单一，未考虑宏观经济、新闻舆情等其他影响因素，未来可以引入更多数据源。模型解释性仍需加强，未来可以研究可解释AI技术如SHAP值、LIME等方法。实时性有待提高，目前采用每日收盘后更新方式，未来可以接入实时数据流实现分钟级监控。个性化不足，对所有用户提供相同结果，未来可以引入用户画像和个性化推荐。并发性能有限，未来可以采用分布式部署、容器化等技术提高并发能力。模型泛化能力需要验证，未来可以扩展训练数据的时间跨度。风险种类单一，未来可以扩展为多任务学习框架，同时预测多种风险指标。</w:t>
      </w:r>
    </w:p>
    <w:p>
      <w:r>
        <w:br w:type="page"/>
      </w:r>
    </w:p>
    <w:p>
      <w:pPr>
        <w:pStyle w:val="Heading1"/>
      </w:pPr>
      <w:r>
        <w:t>致谢</w:t>
      </w:r>
    </w:p>
    <w:p>
      <w:r>
        <w:t>时光荏苒，转眼间大学四年的学习生涯即将结束。回顾这段难忘的时光，我心中充满感激之情。首先，我要衷心感谢我的指导教师X老师，从论文选题到系统实现，X老师给予了我悉心的指导和无私的帮助，X老师严谨的治学态度和敬业精神将成为我今后工作和学习的榜样。感谢学院的各位老师，是你们传授给我专业知识，培养了我的科研能力。感谢我的同学和朋友们，你们给予了我很多帮助和支持。最后，感谢我的家人，感谢父母多年来的养育之恩和无私支持。在此，我向所有帮助过我的人表示最诚挚的感谢！</w:t>
      </w:r>
    </w:p>
    <w:p>
      <w:r>
        <w:br w:type="page"/>
      </w:r>
    </w:p>
    <w:p>
      <w:pPr>
        <w:pStyle w:val="Heading1"/>
      </w:pPr>
      <w:r>
        <w:t>参考文献</w:t>
      </w:r>
    </w:p>
    <w:p>
      <w:r>
        <w:t>[1] Adebiyi A A, Adewumi A O, Ayo C K. Stock price prediction using the ARIMA model[C]//2014 UKSim-AMSS 16th International Conference on Computer Modelling and Simulation. IEEE, 2014: 106-112.</w:t>
      </w:r>
    </w:p>
    <w:p>
      <w:r>
        <w:t>[2] Fischer T, Krauss C. Deep learning with long short-term memory networks for financial market predictions[J]. European Journal of Operational Research, 2018, 270(2): 654-669.</w:t>
      </w:r>
    </w:p>
    <w:p>
      <w:r>
        <w:t>[3] Chen K, Zhou Y, Dai F. A LSTM-based method for stock returns prediction: A case study of China stock market[C]//2015 IEEE international conference on big data. IEEE, 2015: 2823-2824.</w:t>
      </w:r>
    </w:p>
    <w:p>
      <w:r>
        <w:t>[4] Bahdanau D, Cho K, Bengio Y. Neural machine translation by jointly learning to align and translate[J]. arXiv preprint arXiv:1409.0473, 2014.</w:t>
      </w:r>
    </w:p>
    <w:p>
      <w:r>
        <w:t>[5] Hochreiter S, Schmidhuber J. Long short-term memory[J]. Neural computation, 1997, 9(8): 1735-1780.</w:t>
      </w:r>
    </w:p>
    <w:p>
      <w:r>
        <w:t>[6] Kingma D P, Ba J. Adam: A method for stochastic optimization[J]. arXiv preprint arXiv:1412.6980, 2014.</w:t>
      </w:r>
    </w:p>
    <w:p>
      <w:r>
        <w:t>[7] Srivastava N, Hinton G, et al. Dropout: a simple way to prevent neural networks from overfitting[J]. The journal of machine learning research, 2014, 15(1): 1929-1958.</w:t>
      </w:r>
    </w:p>
    <w:p>
      <w:r>
        <w:t>[8] 张伟, 李强. 基于LSTM神经网络的股票价格预测研究[J]. 计算机工程与应用, 2019, 55(12): 248-253.</w:t>
      </w:r>
    </w:p>
    <w:p>
      <w:r>
        <w:t>[9] 李明, 王华. 融合注意力机制的股票价格预测模型[J]. 软件学报, 2020, 31(6): 1825-1838.</w:t>
      </w:r>
    </w:p>
    <w:p>
      <w:r>
        <w:t>[10] 赵磊, 刘洋. 金融时间序列预测的深度学习方法综述[J]. 计算机研究与发展, 2021, 58(5): 935-954.</w:t>
      </w:r>
    </w:p>
    <w:p>
      <w:r>
        <w:t>[11] akshare官方文档[EB/OL]. https://akshare.akfamily.xyz/, 2024.</w:t>
      </w:r>
    </w:p>
    <w:p>
      <w:r>
        <w:t>[12] TensorFlow官方文档[EB/OL]. https://www.tensorflow.org/, 2024.</w:t>
      </w:r>
    </w:p>
    <w:p>
      <w:r>
        <w:t>[13] Streamlit官方文档[EB/OL]. https://docs.streamlit.io/, 2024.</w:t>
      </w:r>
    </w:p>
    <w:p>
      <w:r>
        <w:br w:type="page"/>
      </w:r>
    </w:p>
    <w:p>
      <w:pPr>
        <w:pStyle w:val="Heading1"/>
      </w:pPr>
      <w:r>
        <w:t>附录A  核心代码示例</w:t>
      </w:r>
    </w:p>
    <w:p>
      <w:r>
        <w:t>注：以下代码为系统核心功能的简化示例，完整代码请参考系统开发文档。</w:t>
      </w:r>
    </w:p>
    <w:p>
      <w:pPr>
        <w:pStyle w:val="Heading2"/>
      </w:pPr>
      <w:r>
        <w:t>A.1  数据采集模块</w:t>
      </w:r>
    </w:p>
    <w:p>
      <w:r>
        <w:rPr>
          <w:rFonts w:ascii="Courier New" w:hAnsi="Courier New"/>
        </w:rPr>
        <w:t>def fetch_stock_data(symbol, start_date=None, end_date=None):</w:t>
        <w:br/>
        <w:t xml:space="preserve">    """获取股票指数数据"""</w:t>
        <w:br/>
        <w:t xml:space="preserve">    if start_date is None:</w:t>
        <w:br/>
        <w:t xml:space="preserve">        start_date = (datetime.now() - timedelta(days=365)).strftime('%Y%m%d')</w:t>
        <w:br/>
        <w:t xml:space="preserve">    if end_date is None:</w:t>
        <w:br/>
        <w:t xml:space="preserve">        end_date = datetime.now().strftime('%Y%m%d')</w:t>
        <w:br/>
        <w:t xml:space="preserve">    </w:t>
        <w:br/>
        <w:t xml:space="preserve">    try:</w:t>
        <w:br/>
        <w:t xml:space="preserve">        df = ak.stock_zh_index_daily(symbol=symbol)</w:t>
        <w:br/>
        <w:t xml:space="preserve">        df = df[(df['date'] &gt;= start_date) &amp; (df['date'] &lt;= end_date)]</w:t>
        <w:br/>
        <w:t xml:space="preserve">        return df</w:t>
        <w:br/>
        <w:t xml:space="preserve">    except Exception as e:</w:t>
        <w:br/>
        <w:t xml:space="preserve">        print(f"数据获取失败：{e}")</w:t>
        <w:br/>
        <w:t xml:space="preserve">        return None</w:t>
        <w:br/>
      </w:r>
    </w:p>
    <w:p>
      <w:pPr>
        <w:pStyle w:val="Heading2"/>
      </w:pPr>
      <w:r>
        <w:t>A.2  技术指标计算</w:t>
      </w:r>
    </w:p>
    <w:p>
      <w:r>
        <w:rPr>
          <w:rFonts w:ascii="Courier New" w:hAnsi="Courier New"/>
        </w:rPr>
        <w:t>def calculate_indicators(df):</w:t>
        <w:br/>
        <w:t xml:space="preserve">    """计算技术指标"""</w:t>
        <w:br/>
        <w:t xml:space="preserve">    # MACD</w:t>
        <w:br/>
        <w:t xml:space="preserve">    df['MACD'], df['MACD_signal'], _ = talib.MACD(</w:t>
        <w:br/>
        <w:t xml:space="preserve">        df['close'], fastperiod=12, slowperiod=26, signalperiod=9</w:t>
        <w:br/>
        <w:t xml:space="preserve">    )</w:t>
        <w:br/>
        <w:t xml:space="preserve">    # KDJ</w:t>
        <w:br/>
        <w:t xml:space="preserve">    df['K'], df['D'] = talib.STOCH(df['high'], df['low'], df['close'])</w:t>
        <w:br/>
        <w:t xml:space="preserve">    df['J'] = 3 * df['K'] - 2 * df['D']</w:t>
        <w:br/>
        <w:t xml:space="preserve">    # RSI</w:t>
        <w:br/>
        <w:t xml:space="preserve">    df['RSI'] = talib.RSI(df['close'], timeperiod=14)</w:t>
        <w:br/>
        <w:t xml:space="preserve">    # 移动平均线</w:t>
        <w:br/>
        <w:t xml:space="preserve">    for period in [5, 10, 20, 60]:</w:t>
        <w:br/>
        <w:t xml:space="preserve">        df[f'MA{period}'] = talib.SMA(df['close'], timeperiod=period)</w:t>
        <w:br/>
        <w:t xml:space="preserve">    return df</w:t>
        <w:br/>
      </w:r>
    </w:p>
    <w:p>
      <w:pPr>
        <w:pStyle w:val="Heading2"/>
      </w:pPr>
      <w:r>
        <w:t>A.3  模型构建</w:t>
      </w:r>
    </w:p>
    <w:p>
      <w:r>
        <w:rPr>
          <w:rFonts w:ascii="Courier New" w:hAnsi="Courier New"/>
        </w:rPr>
        <w:t>def build_model(input_shape):</w:t>
        <w:br/>
        <w:t xml:space="preserve">    """构建CNN-LSTM-Attention模型"""</w:t>
        <w:br/>
        <w:t xml:space="preserve">    inputs = layers.Input(shape=input_shape)</w:t>
        <w:br/>
        <w:t xml:space="preserve">    # CNN层</w:t>
        <w:br/>
        <w:t xml:space="preserve">    x = layers.Conv1D(filters=64, kernel_size=3, activation='relu')(inputs)</w:t>
        <w:br/>
        <w:t xml:space="preserve">    x = layers.MaxPooling1D(pool_size=2)(x)</w:t>
        <w:br/>
        <w:t xml:space="preserve">    # LSTM层</w:t>
        <w:br/>
        <w:t xml:space="preserve">    x = layers.LSTM(50, return_sequences=True)(x)</w:t>
        <w:br/>
        <w:t xml:space="preserve">    x = layers.Dropout(0.2)(x)</w:t>
        <w:br/>
        <w:t xml:space="preserve">    x = layers.LSTM(50, return_sequences=True)(x)</w:t>
        <w:br/>
        <w:t xml:space="preserve">    # Attention层</w:t>
        <w:br/>
        <w:t xml:space="preserve">    attention = layers.Dense(1, activation='tanh')(x)</w:t>
        <w:br/>
        <w:t xml:space="preserve">    attention = layers.Flatten()(attention)</w:t>
        <w:br/>
        <w:t xml:space="preserve">    attention = layers.Activation('softmax')(attention)</w:t>
        <w:br/>
        <w:t xml:space="preserve">    # 输出层</w:t>
        <w:br/>
        <w:t xml:space="preserve">    outputs = layers.Dense(1, activation='sigmoid')(x)</w:t>
        <w:br/>
        <w:t xml:space="preserve">    model = Model(inputs=inputs, outputs=outputs)</w:t>
        <w:br/>
        <w:t xml:space="preserve">    model.compile(optimizer='adam', loss='binary_crossentropy', </w:t>
        <w:br/>
        <w:t xml:space="preserve">                  metrics=['accuracy'])</w:t>
        <w:br/>
        <w:t xml:space="preserve">    return model</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