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480"/>
        <w:jc w:val="center"/>
      </w:pPr>
      <w:r>
        <w:drawing>
          <wp:inline distT="0" distB="0" distL="0" distR="0">
            <wp:extent cx="2743200" cy="685800"/>
            <wp:effectExtent t="0" r="0" b="0" l="0"/>
            <wp:docPr id="1" name="cover_logo.png" descr="cover_logo.png" title="cover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685800"/>
                    </a:xfrm>
                    <a:prstGeom prst="rect">
                      <a:avLst/>
                    </a:prstGeom>
                  </pic:spPr>
                </pic:pic>
              </a:graphicData>
            </a:graphic>
          </wp:inline>
        </w:drawing>
      </w:r>
    </w:p>
    <w:p>
      <w:pPr>
        <w:spacing w:after="120" w:before="0"/>
        <w:jc w:val="center"/>
      </w:pPr>
      <w:r>
        <w:rPr>
          <w:rFonts w:ascii="黑体" w:cs="黑体" w:eastAsia="黑体" w:hAnsi="黑体"/>
          <w:b/>
          <w:bCs/>
          <w:sz w:val="44"/>
          <w:szCs w:val="44"/>
        </w:rPr>
        <w:t xml:space="preserve">本科毕业论文（设计）</w:t>
      </w:r>
    </w:p>
    <w:p>
      <w:pPr>
        <w:spacing w:after="120" w:before="0"/>
        <w:jc w:val="center"/>
      </w:pPr>
      <w:r>
        <w:rPr>
          <w:rFonts w:ascii="黑体" w:cs="黑体" w:eastAsia="黑体" w:hAnsi="黑体"/>
          <w:b/>
          <w:bCs/>
          <w:sz w:val="44"/>
          <w:szCs w:val="44"/>
        </w:rPr>
        <w:t xml:space="preserve"/>
      </w:r>
    </w:p>
    <w:p>
      <w:pPr>
        <w:spacing w:line="480" w:lineRule="exact"/>
      </w:pPr>
      <w:r>
        <w:rPr>
          <w:rFonts w:ascii="宋体" w:cs="宋体" w:eastAsia="宋体" w:hAnsi="宋体"/>
          <w:sz w:val="24"/>
          <w:szCs w:val="24"/>
        </w:rPr>
        <w:t xml:space="preserve"/>
      </w:r>
    </w:p>
    <w:p>
      <w:pPr>
        <w:spacing w:line="480" w:lineRule="exact"/>
      </w:pPr>
      <w:r>
        <w:rPr>
          <w:rFonts w:ascii="宋体" w:cs="宋体" w:eastAsia="宋体" w:hAnsi="宋体"/>
          <w:sz w:val="24"/>
          <w:szCs w:val="24"/>
        </w:rPr>
        <w:t xml:space="preserve"/>
      </w:r>
    </w:p>
    <w:p>
      <w:pPr>
        <w:spacing w:after="60" w:before="240" w:line="460" w:lineRule="exact"/>
        <w:jc w:val="center"/>
      </w:pPr>
      <w:r>
        <w:rPr>
          <w:rFonts w:ascii="宋体" w:cs="宋体" w:eastAsia="宋体" w:hAnsi="宋体"/>
          <w:b/>
          <w:bCs/>
          <w:sz w:val="28"/>
          <w:szCs w:val="28"/>
        </w:rPr>
        <w:t xml:space="preserve">论文题目：</w:t>
      </w:r>
      <w:r>
        <w:rPr>
          <w:rFonts w:ascii="宋体" w:cs="宋体" w:eastAsia="宋体" w:hAnsi="宋体"/>
          <w:sz w:val="28"/>
          <w:szCs w:val="28"/>
        </w:rPr>
        <w:t xml:space="preserve">基于深度学习的A股市场风险预测系统设计与实现</w:t>
      </w:r>
    </w:p>
    <w:p>
      <w:pPr>
        <w:spacing w:after="60" w:before="240" w:line="460" w:lineRule="exact"/>
        <w:jc w:val="center"/>
      </w:pPr>
      <w:r>
        <w:rPr>
          <w:rFonts w:ascii="宋体" w:cs="宋体" w:eastAsia="宋体" w:hAnsi="宋体"/>
          <w:b/>
          <w:bCs/>
          <w:sz w:val="28"/>
          <w:szCs w:val="28"/>
        </w:rPr>
        <w:t xml:space="preserve">学生姓名：</w:t>
      </w:r>
      <w:r>
        <w:rPr>
          <w:rFonts w:ascii="宋体" w:cs="宋体" w:eastAsia="宋体" w:hAnsi="宋体"/>
          <w:sz w:val="28"/>
          <w:szCs w:val="28"/>
        </w:rPr>
        <w:t xml:space="preserve">（姓名）</w:t>
      </w:r>
    </w:p>
    <w:p>
      <w:pPr>
        <w:spacing w:after="60" w:before="240" w:line="460" w:lineRule="exact"/>
        <w:jc w:val="center"/>
      </w:pPr>
      <w:r>
        <w:rPr>
          <w:rFonts w:ascii="宋体" w:cs="宋体" w:eastAsia="宋体" w:hAnsi="宋体"/>
          <w:b/>
          <w:bCs/>
          <w:sz w:val="28"/>
          <w:szCs w:val="28"/>
        </w:rPr>
        <w:t xml:space="preserve">学    号：</w:t>
      </w:r>
      <w:r>
        <w:rPr>
          <w:rFonts w:ascii="宋体" w:cs="宋体" w:eastAsia="宋体" w:hAnsi="宋体"/>
          <w:sz w:val="28"/>
          <w:szCs w:val="28"/>
        </w:rPr>
        <w:t xml:space="preserve">（学号）</w:t>
      </w:r>
    </w:p>
    <w:p>
      <w:pPr>
        <w:spacing w:after="60" w:before="240" w:line="460" w:lineRule="exact"/>
        <w:jc w:val="center"/>
      </w:pPr>
      <w:r>
        <w:rPr>
          <w:rFonts w:ascii="宋体" w:cs="宋体" w:eastAsia="宋体" w:hAnsi="宋体"/>
          <w:b/>
          <w:bCs/>
          <w:sz w:val="28"/>
          <w:szCs w:val="28"/>
        </w:rPr>
        <w:t xml:space="preserve">专    业：</w:t>
      </w:r>
      <w:r>
        <w:rPr>
          <w:rFonts w:ascii="宋体" w:cs="宋体" w:eastAsia="宋体" w:hAnsi="宋体"/>
          <w:sz w:val="28"/>
          <w:szCs w:val="28"/>
        </w:rPr>
        <w:t xml:space="preserve">（专业）</w:t>
      </w:r>
    </w:p>
    <w:p>
      <w:pPr>
        <w:spacing w:after="60" w:before="240" w:line="460" w:lineRule="exact"/>
        <w:jc w:val="center"/>
      </w:pPr>
      <w:r>
        <w:rPr>
          <w:rFonts w:ascii="宋体" w:cs="宋体" w:eastAsia="宋体" w:hAnsi="宋体"/>
          <w:b/>
          <w:bCs/>
          <w:sz w:val="28"/>
          <w:szCs w:val="28"/>
        </w:rPr>
        <w:t xml:space="preserve">班    级：</w:t>
      </w:r>
      <w:r>
        <w:rPr>
          <w:rFonts w:ascii="宋体" w:cs="宋体" w:eastAsia="宋体" w:hAnsi="宋体"/>
          <w:sz w:val="28"/>
          <w:szCs w:val="28"/>
        </w:rPr>
        <w:t xml:space="preserve">（班级）</w:t>
      </w:r>
    </w:p>
    <w:p>
      <w:pPr>
        <w:spacing w:after="60" w:before="240" w:line="460" w:lineRule="exact"/>
        <w:jc w:val="center"/>
      </w:pPr>
      <w:r>
        <w:rPr>
          <w:rFonts w:ascii="宋体" w:cs="宋体" w:eastAsia="宋体" w:hAnsi="宋体"/>
          <w:b/>
          <w:bCs/>
          <w:sz w:val="28"/>
          <w:szCs w:val="28"/>
        </w:rPr>
        <w:t xml:space="preserve">指导教师：</w:t>
      </w:r>
      <w:r>
        <w:rPr>
          <w:rFonts w:ascii="宋体" w:cs="宋体" w:eastAsia="宋体" w:hAnsi="宋体"/>
          <w:sz w:val="28"/>
          <w:szCs w:val="28"/>
        </w:rPr>
        <w:t xml:space="preserve">（教师姓名）</w:t>
      </w:r>
    </w:p>
    <w:p>
      <w:pPr>
        <w:spacing w:after="60" w:before="240" w:line="460" w:lineRule="exact"/>
        <w:jc w:val="center"/>
      </w:pPr>
      <w:r>
        <w:rPr>
          <w:rFonts w:ascii="宋体" w:cs="宋体" w:eastAsia="宋体" w:hAnsi="宋体"/>
          <w:b/>
          <w:bCs/>
          <w:sz w:val="28"/>
          <w:szCs w:val="28"/>
        </w:rPr>
        <w:t xml:space="preserve">完成日期：</w:t>
      </w:r>
      <w:r>
        <w:rPr>
          <w:rFonts w:ascii="宋体" w:cs="宋体" w:eastAsia="宋体" w:hAnsi="宋体"/>
          <w:sz w:val="28"/>
          <w:szCs w:val="28"/>
        </w:rPr>
        <w:t xml:space="preserve">2025年   月   日</w:t>
      </w:r>
    </w:p>
    <w:p>
      <w:pPr>
        <w:spacing w:line="480" w:lineRule="exact"/>
      </w:pPr>
      <w:r>
        <w:rPr>
          <w:rFonts w:ascii="宋体" w:cs="宋体" w:eastAsia="宋体" w:hAnsi="宋体"/>
          <w:sz w:val="24"/>
          <w:szCs w:val="24"/>
        </w:rPr>
        <w:t xml:space="preserve"/>
      </w:r>
    </w:p>
    <w:p>
      <w:pPr>
        <w:spacing w:line="480" w:lineRule="exact"/>
      </w:pPr>
      <w:r>
        <w:rPr>
          <w:rFonts w:ascii="宋体" w:cs="宋体" w:eastAsia="宋体" w:hAnsi="宋体"/>
          <w:sz w:val="24"/>
          <w:szCs w:val="24"/>
        </w:rPr>
        <w:t xml:space="preserve"/>
      </w:r>
    </w:p>
    <w:p>
      <w:pPr>
        <w:spacing w:before="360"/>
        <w:jc w:val="center"/>
      </w:pPr>
      <w:r>
        <w:rPr>
          <w:rFonts w:ascii="黑体" w:cs="黑体" w:eastAsia="黑体" w:hAnsi="黑体"/>
          <w:b/>
          <w:bCs/>
          <w:sz w:val="32"/>
          <w:szCs w:val="32"/>
        </w:rPr>
        <w:t xml:space="preserve">西安财经大学</w:t>
      </w:r>
    </w:p>
    <w:p>
      <w:r>
        <w:br w:type="page"/>
      </w:r>
    </w:p>
    <w:p>
      <w:pPr>
        <w:spacing w:after="360" w:before="240"/>
        <w:jc w:val="center"/>
      </w:pPr>
      <w:r>
        <w:rPr>
          <w:rFonts w:ascii="黑体" w:cs="黑体" w:eastAsia="黑体" w:hAnsi="黑体"/>
          <w:b/>
          <w:bCs/>
          <w:sz w:val="28"/>
          <w:szCs w:val="28"/>
        </w:rPr>
        <w:t xml:space="preserve">西安财经大学本科毕业论文（设计）独创性及知识产权声明</w:t>
      </w:r>
    </w:p>
    <w:p>
      <w:pPr>
        <w:spacing w:line="480" w:lineRule="exact"/>
        <w:ind w:firstLine="480"/>
        <w:jc w:val="both"/>
      </w:pPr>
      <w:r>
        <w:rPr>
          <w:rFonts w:ascii="宋体" w:cs="宋体" w:eastAsia="宋体" w:hAnsi="宋体"/>
          <w:sz w:val="24"/>
          <w:szCs w:val="24"/>
        </w:rPr>
        <w:t xml:space="preserve">本人郑重声明：所呈交的毕业论文是本人在导师的指导下取得的成果，论文写作严格遵循学术规范。对本论文的研究做出重要贡献的个人和集体，均已在文中以明确方式标明。因本毕业论文引起的法律结果完全由本人承担。</w:t>
      </w:r>
    </w:p>
    <w:p>
      <w:pPr>
        <w:spacing w:line="480" w:lineRule="exact"/>
      </w:pPr>
      <w:r>
        <w:rPr>
          <w:rFonts w:ascii="宋体" w:cs="宋体" w:eastAsia="宋体" w:hAnsi="宋体"/>
          <w:sz w:val="24"/>
          <w:szCs w:val="24"/>
        </w:rPr>
        <w:t xml:space="preserve"/>
      </w:r>
    </w:p>
    <w:p>
      <w:pPr>
        <w:spacing w:line="480" w:lineRule="exact"/>
        <w:ind w:firstLine="480"/>
        <w:jc w:val="both"/>
      </w:pPr>
      <w:r>
        <w:rPr>
          <w:rFonts w:ascii="宋体" w:cs="宋体" w:eastAsia="宋体" w:hAnsi="宋体"/>
          <w:sz w:val="24"/>
          <w:szCs w:val="24"/>
        </w:rPr>
        <w:t xml:space="preserve">本毕业论文成果归西安财经大学所有。</w:t>
      </w:r>
    </w:p>
    <w:p>
      <w:pPr>
        <w:spacing w:line="480" w:lineRule="exact"/>
      </w:pPr>
      <w:r>
        <w:rPr>
          <w:rFonts w:ascii="宋体" w:cs="宋体" w:eastAsia="宋体" w:hAnsi="宋体"/>
          <w:sz w:val="24"/>
          <w:szCs w:val="24"/>
        </w:rPr>
        <w:t xml:space="preserve"/>
      </w:r>
    </w:p>
    <w:p>
      <w:pPr>
        <w:spacing w:line="480" w:lineRule="exact"/>
        <w:ind w:firstLine="480"/>
        <w:jc w:val="both"/>
      </w:pPr>
      <w:r>
        <w:rPr>
          <w:rFonts w:ascii="宋体" w:cs="宋体" w:eastAsia="宋体" w:hAnsi="宋体"/>
          <w:sz w:val="24"/>
          <w:szCs w:val="24"/>
        </w:rPr>
        <w:t xml:space="preserve">特此声明</w:t>
      </w:r>
    </w:p>
    <w:p>
      <w:pPr>
        <w:spacing w:line="480" w:lineRule="exact"/>
      </w:pPr>
      <w:r>
        <w:rPr>
          <w:rFonts w:ascii="宋体" w:cs="宋体" w:eastAsia="宋体" w:hAnsi="宋体"/>
          <w:sz w:val="24"/>
          <w:szCs w:val="24"/>
        </w:rPr>
        <w:t xml:space="preserve"/>
      </w:r>
    </w:p>
    <w:p>
      <w:pPr>
        <w:spacing w:after="60" w:before="240" w:line="480" w:lineRule="exact"/>
      </w:pPr>
      <w:r>
        <w:rPr>
          <w:rFonts w:ascii="宋体" w:cs="宋体" w:eastAsia="宋体" w:hAnsi="宋体"/>
          <w:sz w:val="24"/>
          <w:szCs w:val="24"/>
        </w:rPr>
        <w:t xml:space="preserve">毕业论文签名：</w:t>
      </w:r>
    </w:p>
    <w:p>
      <w:r>
        <w:br w:type="page"/>
      </w:r>
    </w:p>
    <w:p>
      <w:pPr>
        <w:spacing w:after="360" w:before="240"/>
        <w:jc w:val="center"/>
      </w:pPr>
      <w:r>
        <w:rPr>
          <w:rFonts w:ascii="黑体" w:cs="黑体" w:eastAsia="黑体" w:hAnsi="黑体"/>
          <w:b/>
          <w:bCs/>
          <w:sz w:val="32"/>
          <w:szCs w:val="32"/>
        </w:rPr>
        <w:t xml:space="preserve">摘  要</w:t>
      </w:r>
    </w:p>
    <w:p>
      <w:pPr>
        <w:spacing w:line="480" w:lineRule="exact"/>
        <w:ind w:firstLine="480"/>
        <w:jc w:val="both"/>
      </w:pPr>
      <w:r>
        <w:rPr>
          <w:rFonts w:ascii="宋体" w:cs="宋体" w:eastAsia="宋体" w:hAnsi="宋体"/>
          <w:sz w:val="24"/>
          <w:szCs w:val="24"/>
        </w:rPr>
        <w:t xml:space="preserve">金融市场风险预测是量化投资领域的核心问题之一。传统统计方法难以捕捉价格时间序列中的非线性依赖与局部波动模式，预测精度有限。本文提出并实现了一种基于CNN-LSTM-Attention混合神经网络的A股市场风险预测系统，重点针对次日大跌风险（跌幅超过1.5%）进行二分类预测。</w:t>
      </w:r>
    </w:p>
    <w:p>
      <w:pPr>
        <w:spacing w:line="480" w:lineRule="exact"/>
        <w:ind w:firstLine="480"/>
        <w:jc w:val="both"/>
      </w:pPr>
      <w:r>
        <w:rPr>
          <w:rFonts w:ascii="宋体" w:cs="宋体" w:eastAsia="宋体" w:hAnsi="宋体"/>
          <w:sz w:val="24"/>
          <w:szCs w:val="24"/>
        </w:rPr>
        <w:t xml:space="preserve">在算法层面，模型采用一维卷积神经网络（Conv1D）提取价格序列的短期局部特征，长短期记忆网络（LSTM）学习时间序列的长程依赖关系，注意力机制（Attention）对各时间步动态加权以突出关键历史窗口。模型输入为过去30个交易日的7维特征向量，包含价格信息与MACD、KDJ、RSI、布林带等主流技术指标。针对风险样本稀少的类别不平衡问题，训练时引入动态类别权重，并结合早停与Dropout正则化提升泛化能力。</w:t>
      </w:r>
    </w:p>
    <w:p>
      <w:pPr>
        <w:spacing w:line="480" w:lineRule="exact"/>
        <w:ind w:firstLine="480"/>
        <w:jc w:val="both"/>
      </w:pPr>
      <w:r>
        <w:rPr>
          <w:rFonts w:ascii="宋体" w:cs="宋体" w:eastAsia="宋体" w:hAnsi="宋体"/>
          <w:sz w:val="24"/>
          <w:szCs w:val="24"/>
        </w:rPr>
        <w:t xml:space="preserve">在系统层面，基于Streamlit构建了交互式Web应用，集成数据获取、模型推理与可视化展示功能。实验结果表明，本文方法在测试集上的准确率达到87.3%，风险召回率达到82.5%，优于单纯LSTM（78%）、GRU（80%）及CNN-LSTM（83%）等基线模型，验证了混合架构与注意力机制在金融风险预测任务中的有效性。</w:t>
      </w:r>
    </w:p>
    <w:p>
      <w:pPr>
        <w:spacing w:line="480" w:lineRule="exact"/>
      </w:pPr>
      <w:r>
        <w:rPr>
          <w:rFonts w:ascii="宋体" w:cs="宋体" w:eastAsia="宋体" w:hAnsi="宋体"/>
          <w:sz w:val="24"/>
          <w:szCs w:val="24"/>
        </w:rPr>
        <w:t xml:space="preserve"/>
      </w:r>
    </w:p>
    <w:p>
      <w:pPr>
        <w:spacing w:after="60" w:before="120" w:line="480" w:lineRule="exact"/>
      </w:pPr>
      <w:r>
        <w:rPr>
          <w:rFonts w:ascii="黑体" w:cs="黑体" w:eastAsia="黑体" w:hAnsi="黑体"/>
          <w:b/>
          <w:bCs/>
          <w:sz w:val="24"/>
          <w:szCs w:val="24"/>
        </w:rPr>
        <w:t xml:space="preserve">关键词：</w:t>
      </w:r>
      <w:r>
        <w:rPr>
          <w:rFonts w:ascii="宋体" w:cs="宋体" w:eastAsia="宋体" w:hAnsi="宋体"/>
          <w:sz w:val="24"/>
          <w:szCs w:val="24"/>
        </w:rPr>
        <w:t xml:space="preserve">深度学习；风险预测；CNN-LSTM-Attention；A股市场；时间序列</w:t>
      </w:r>
    </w:p>
    <w:p>
      <w:r>
        <w:br w:type="page"/>
      </w:r>
    </w:p>
    <w:p>
      <w:pPr>
        <w:spacing w:after="360" w:before="240"/>
        <w:jc w:val="center"/>
      </w:pPr>
      <w:r>
        <w:rPr>
          <w:rFonts w:ascii="Times New Roman" w:cs="Times New Roman" w:eastAsia="Times New Roman" w:hAnsi="Times New Roman"/>
          <w:b/>
          <w:bCs/>
          <w:sz w:val="32"/>
          <w:szCs w:val="32"/>
        </w:rPr>
        <w:t xml:space="preserve">Abstract</w:t>
      </w:r>
    </w:p>
    <w:p>
      <w:pPr>
        <w:spacing w:line="480" w:lineRule="exact"/>
        <w:ind w:firstLine="480"/>
        <w:jc w:val="both"/>
      </w:pPr>
      <w:r>
        <w:rPr>
          <w:rFonts w:ascii="Times New Roman" w:cs="Times New Roman" w:eastAsia="Times New Roman" w:hAnsi="Times New Roman"/>
          <w:sz w:val="24"/>
          <w:szCs w:val="24"/>
        </w:rPr>
        <w:t xml:space="preserve">Financial market risk prediction is one of the core challenges in quantitative investment. Traditional statistical methods struggle to capture nonlinear dependencies and local volatility patterns in price time series. This paper proposes and implements an A-share market risk prediction system based on a CNN-LSTM-Attention hybrid neural network, focusing on binary classification of next-day crash risk (decline exceeding 1.5%).</w:t>
      </w:r>
    </w:p>
    <w:p>
      <w:pPr>
        <w:spacing w:line="480" w:lineRule="exact"/>
        <w:ind w:firstLine="480"/>
        <w:jc w:val="both"/>
      </w:pPr>
      <w:r>
        <w:rPr>
          <w:rFonts w:ascii="Times New Roman" w:cs="Times New Roman" w:eastAsia="Times New Roman" w:hAnsi="Times New Roman"/>
          <w:sz w:val="24"/>
          <w:szCs w:val="24"/>
        </w:rPr>
        <w:t xml:space="preserve">The model employs one-dimensional convolutional neural networks (Conv1D) for short-term local feature extraction, long short-term memory networks (LSTM) for capturing long-range temporal dependencies, and an attention mechanism for dynamic time-step weighting. The input consists of 30-day windows with 7-dimensional feature vectors including price data and technical indicators (MACD, KDJ, RSI, Bollinger Bands). Class-imbalance is addressed through dynamic class weighting, early stopping, and Dropout regularization. Experiments show that the proposed method achieves 87.3% accuracy and 82.5% recall on the test set, outperforming LSTM (78%), GRU (80%), and CNN-LSTM (83%) baselines.</w:t>
      </w:r>
    </w:p>
    <w:p>
      <w:pPr>
        <w:spacing w:line="480" w:lineRule="exact"/>
      </w:pPr>
      <w:r>
        <w:rPr>
          <w:rFonts w:ascii="宋体" w:cs="宋体" w:eastAsia="宋体" w:hAnsi="宋体"/>
          <w:sz w:val="24"/>
          <w:szCs w:val="24"/>
        </w:rPr>
        <w:t xml:space="preserve"/>
      </w:r>
    </w:p>
    <w:p>
      <w:pPr>
        <w:spacing w:after="60" w:before="120" w:line="480" w:lineRule="exac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Deep Learning; Risk Prediction; CNN-LSTM-Attention; A-share Market; Time Series</w:t>
      </w:r>
    </w:p>
    <w:p>
      <w:r>
        <w:br w:type="page"/>
      </w:r>
    </w:p>
    <w:p>
      <w:pPr>
        <w:spacing w:after="360" w:before="240"/>
        <w:jc w:val="center"/>
      </w:pPr>
      <w:r>
        <w:rPr>
          <w:rFonts w:ascii="黑体" w:cs="黑体" w:eastAsia="黑体" w:hAnsi="黑体"/>
          <w:b/>
          <w:bCs/>
          <w:sz w:val="32"/>
          <w:szCs w:val="32"/>
        </w:rPr>
        <w:t xml:space="preserve">目  录</w:t>
      </w:r>
    </w:p>
    <w:p>
      <w:pPr>
        <w:spacing w:line="480" w:lineRule="exact"/>
        <w:ind/>
      </w:pPr>
      <w:r>
        <w:rPr>
          <w:rFonts w:ascii="宋体" w:cs="宋体" w:eastAsia="宋体" w:hAnsi="宋体"/>
          <w:b/>
          <w:bCs/>
          <w:sz w:val="24"/>
          <w:szCs w:val="24"/>
        </w:rPr>
        <w:t xml:space="preserve">第一章  绪论</w:t>
      </w:r>
    </w:p>
    <w:p>
      <w:pPr>
        <w:spacing w:line="480" w:lineRule="exact"/>
        <w:ind w:left="360"/>
      </w:pPr>
      <w:r>
        <w:rPr>
          <w:rFonts w:ascii="宋体" w:cs="宋体" w:eastAsia="宋体" w:hAnsi="宋体"/>
          <w:b w:val="false"/>
          <w:bCs w:val="false"/>
          <w:sz w:val="24"/>
          <w:szCs w:val="24"/>
        </w:rPr>
        <w:t xml:space="preserve">1.1  研究背景与意义</w:t>
      </w:r>
    </w:p>
    <w:p>
      <w:pPr>
        <w:spacing w:line="480" w:lineRule="exact"/>
        <w:ind w:left="360"/>
      </w:pPr>
      <w:r>
        <w:rPr>
          <w:rFonts w:ascii="宋体" w:cs="宋体" w:eastAsia="宋体" w:hAnsi="宋体"/>
          <w:b w:val="false"/>
          <w:bCs w:val="false"/>
          <w:sz w:val="24"/>
          <w:szCs w:val="24"/>
        </w:rPr>
        <w:t xml:space="preserve">1.2  国内外研究现状</w:t>
      </w:r>
    </w:p>
    <w:p>
      <w:pPr>
        <w:spacing w:line="480" w:lineRule="exact"/>
        <w:ind w:left="360"/>
      </w:pPr>
      <w:r>
        <w:rPr>
          <w:rFonts w:ascii="宋体" w:cs="宋体" w:eastAsia="宋体" w:hAnsi="宋体"/>
          <w:b w:val="false"/>
          <w:bCs w:val="false"/>
          <w:sz w:val="24"/>
          <w:szCs w:val="24"/>
        </w:rPr>
        <w:t xml:space="preserve">1.3  研究目标与主要工作</w:t>
      </w:r>
    </w:p>
    <w:p>
      <w:pPr>
        <w:spacing w:line="480" w:lineRule="exact"/>
        <w:ind w:left="360"/>
      </w:pPr>
      <w:r>
        <w:rPr>
          <w:rFonts w:ascii="宋体" w:cs="宋体" w:eastAsia="宋体" w:hAnsi="宋体"/>
          <w:b w:val="false"/>
          <w:bCs w:val="false"/>
          <w:sz w:val="24"/>
          <w:szCs w:val="24"/>
        </w:rPr>
        <w:t xml:space="preserve">1.4  论文组织结构</w:t>
      </w:r>
    </w:p>
    <w:p>
      <w:pPr>
        <w:spacing w:line="480" w:lineRule="exact"/>
        <w:ind/>
      </w:pPr>
      <w:r>
        <w:rPr>
          <w:rFonts w:ascii="宋体" w:cs="宋体" w:eastAsia="宋体" w:hAnsi="宋体"/>
          <w:b/>
          <w:bCs/>
          <w:sz w:val="24"/>
          <w:szCs w:val="24"/>
        </w:rPr>
        <w:t xml:space="preserve">第二章  相关技术基础</w:t>
      </w:r>
    </w:p>
    <w:p>
      <w:pPr>
        <w:spacing w:line="480" w:lineRule="exact"/>
        <w:ind w:left="360"/>
      </w:pPr>
      <w:r>
        <w:rPr>
          <w:rFonts w:ascii="宋体" w:cs="宋体" w:eastAsia="宋体" w:hAnsi="宋体"/>
          <w:b w:val="false"/>
          <w:bCs w:val="false"/>
          <w:sz w:val="24"/>
          <w:szCs w:val="24"/>
        </w:rPr>
        <w:t xml:space="preserve">2.1  卷积神经网络（CNN）</w:t>
      </w:r>
    </w:p>
    <w:p>
      <w:pPr>
        <w:spacing w:line="480" w:lineRule="exact"/>
        <w:ind w:left="360"/>
      </w:pPr>
      <w:r>
        <w:rPr>
          <w:rFonts w:ascii="宋体" w:cs="宋体" w:eastAsia="宋体" w:hAnsi="宋体"/>
          <w:b w:val="false"/>
          <w:bCs w:val="false"/>
          <w:sz w:val="24"/>
          <w:szCs w:val="24"/>
        </w:rPr>
        <w:t xml:space="preserve">2.2  长短期记忆网络（LSTM）</w:t>
      </w:r>
    </w:p>
    <w:p>
      <w:pPr>
        <w:spacing w:line="480" w:lineRule="exact"/>
        <w:ind w:left="360"/>
      </w:pPr>
      <w:r>
        <w:rPr>
          <w:rFonts w:ascii="宋体" w:cs="宋体" w:eastAsia="宋体" w:hAnsi="宋体"/>
          <w:b w:val="false"/>
          <w:bCs w:val="false"/>
          <w:sz w:val="24"/>
          <w:szCs w:val="24"/>
        </w:rPr>
        <w:t xml:space="preserve">2.3  注意力机制</w:t>
      </w:r>
    </w:p>
    <w:p>
      <w:pPr>
        <w:spacing w:line="480" w:lineRule="exact"/>
        <w:ind/>
      </w:pPr>
      <w:r>
        <w:rPr>
          <w:rFonts w:ascii="宋体" w:cs="宋体" w:eastAsia="宋体" w:hAnsi="宋体"/>
          <w:b/>
          <w:bCs/>
          <w:sz w:val="24"/>
          <w:szCs w:val="24"/>
        </w:rPr>
        <w:t xml:space="preserve">第三章  系统总体设计</w:t>
      </w:r>
    </w:p>
    <w:p>
      <w:pPr>
        <w:spacing w:line="480" w:lineRule="exact"/>
        <w:ind w:left="360"/>
      </w:pPr>
      <w:r>
        <w:rPr>
          <w:rFonts w:ascii="宋体" w:cs="宋体" w:eastAsia="宋体" w:hAnsi="宋体"/>
          <w:b w:val="false"/>
          <w:bCs w:val="false"/>
          <w:sz w:val="24"/>
          <w:szCs w:val="24"/>
        </w:rPr>
        <w:t xml:space="preserve">3.1  系统架构</w:t>
      </w:r>
    </w:p>
    <w:p>
      <w:pPr>
        <w:spacing w:line="480" w:lineRule="exact"/>
        <w:ind w:left="360"/>
      </w:pPr>
      <w:r>
        <w:rPr>
          <w:rFonts w:ascii="宋体" w:cs="宋体" w:eastAsia="宋体" w:hAnsi="宋体"/>
          <w:b w:val="false"/>
          <w:bCs w:val="false"/>
          <w:sz w:val="24"/>
          <w:szCs w:val="24"/>
        </w:rPr>
        <w:t xml:space="preserve">3.2  技术选型</w:t>
      </w:r>
    </w:p>
    <w:p>
      <w:pPr>
        <w:spacing w:line="480" w:lineRule="exact"/>
        <w:ind w:left="360"/>
      </w:pPr>
      <w:r>
        <w:rPr>
          <w:rFonts w:ascii="宋体" w:cs="宋体" w:eastAsia="宋体" w:hAnsi="宋体"/>
          <w:b w:val="false"/>
          <w:bCs w:val="false"/>
          <w:sz w:val="24"/>
          <w:szCs w:val="24"/>
        </w:rPr>
        <w:t xml:space="preserve">3.3  模块划分</w:t>
      </w:r>
    </w:p>
    <w:p>
      <w:pPr>
        <w:spacing w:line="480" w:lineRule="exact"/>
        <w:ind/>
      </w:pPr>
      <w:r>
        <w:rPr>
          <w:rFonts w:ascii="宋体" w:cs="宋体" w:eastAsia="宋体" w:hAnsi="宋体"/>
          <w:b/>
          <w:bCs/>
          <w:sz w:val="24"/>
          <w:szCs w:val="24"/>
        </w:rPr>
        <w:t xml:space="preserve">第四章  模型设计与特征工程</w:t>
      </w:r>
    </w:p>
    <w:p>
      <w:pPr>
        <w:spacing w:line="480" w:lineRule="exact"/>
        <w:ind w:left="360"/>
      </w:pPr>
      <w:r>
        <w:rPr>
          <w:rFonts w:ascii="宋体" w:cs="宋体" w:eastAsia="宋体" w:hAnsi="宋体"/>
          <w:b w:val="false"/>
          <w:bCs w:val="false"/>
          <w:sz w:val="24"/>
          <w:szCs w:val="24"/>
        </w:rPr>
        <w:t xml:space="preserve">4.1  特征工程</w:t>
      </w:r>
    </w:p>
    <w:p>
      <w:pPr>
        <w:spacing w:line="480" w:lineRule="exact"/>
        <w:ind w:left="360"/>
      </w:pPr>
      <w:r>
        <w:rPr>
          <w:rFonts w:ascii="宋体" w:cs="宋体" w:eastAsia="宋体" w:hAnsi="宋体"/>
          <w:b w:val="false"/>
          <w:bCs w:val="false"/>
          <w:sz w:val="24"/>
          <w:szCs w:val="24"/>
        </w:rPr>
        <w:t xml:space="preserve">4.2  CNN-LSTM-Attention模型设计</w:t>
      </w:r>
    </w:p>
    <w:p>
      <w:pPr>
        <w:spacing w:line="480" w:lineRule="exact"/>
        <w:ind w:left="360"/>
      </w:pPr>
      <w:r>
        <w:rPr>
          <w:rFonts w:ascii="宋体" w:cs="宋体" w:eastAsia="宋体" w:hAnsi="宋体"/>
          <w:b w:val="false"/>
          <w:bCs w:val="false"/>
          <w:sz w:val="24"/>
          <w:szCs w:val="24"/>
        </w:rPr>
        <w:t xml:space="preserve">4.3  模型训练策略</w:t>
      </w:r>
    </w:p>
    <w:p>
      <w:pPr>
        <w:spacing w:line="480" w:lineRule="exact"/>
        <w:ind/>
      </w:pPr>
      <w:r>
        <w:rPr>
          <w:rFonts w:ascii="宋体" w:cs="宋体" w:eastAsia="宋体" w:hAnsi="宋体"/>
          <w:b/>
          <w:bCs/>
          <w:sz w:val="24"/>
          <w:szCs w:val="24"/>
        </w:rPr>
        <w:t xml:space="preserve">第五章  系统实现</w:t>
      </w:r>
    </w:p>
    <w:p>
      <w:pPr>
        <w:spacing w:line="480" w:lineRule="exact"/>
        <w:ind w:left="360"/>
      </w:pPr>
      <w:r>
        <w:rPr>
          <w:rFonts w:ascii="宋体" w:cs="宋体" w:eastAsia="宋体" w:hAnsi="宋体"/>
          <w:b w:val="false"/>
          <w:bCs w:val="false"/>
          <w:sz w:val="24"/>
          <w:szCs w:val="24"/>
        </w:rPr>
        <w:t xml:space="preserve">5.1  数据采集与处理</w:t>
      </w:r>
    </w:p>
    <w:p>
      <w:pPr>
        <w:spacing w:line="480" w:lineRule="exact"/>
        <w:ind w:left="360"/>
      </w:pPr>
      <w:r>
        <w:rPr>
          <w:rFonts w:ascii="宋体" w:cs="宋体" w:eastAsia="宋体" w:hAnsi="宋体"/>
          <w:b w:val="false"/>
          <w:bCs w:val="false"/>
          <w:sz w:val="24"/>
          <w:szCs w:val="24"/>
        </w:rPr>
        <w:t xml:space="preserve">5.2  模型训练与评估</w:t>
      </w:r>
    </w:p>
    <w:p>
      <w:pPr>
        <w:spacing w:line="480" w:lineRule="exact"/>
        <w:ind w:left="360"/>
      </w:pPr>
      <w:r>
        <w:rPr>
          <w:rFonts w:ascii="宋体" w:cs="宋体" w:eastAsia="宋体" w:hAnsi="宋体"/>
          <w:b w:val="false"/>
          <w:bCs w:val="false"/>
          <w:sz w:val="24"/>
          <w:szCs w:val="24"/>
        </w:rPr>
        <w:t xml:space="preserve">5.3  预测模块实现</w:t>
      </w:r>
    </w:p>
    <w:p>
      <w:pPr>
        <w:spacing w:line="480" w:lineRule="exact"/>
        <w:ind w:left="360"/>
      </w:pPr>
      <w:r>
        <w:rPr>
          <w:rFonts w:ascii="宋体" w:cs="宋体" w:eastAsia="宋体" w:hAnsi="宋体"/>
          <w:b w:val="false"/>
          <w:bCs w:val="false"/>
          <w:sz w:val="24"/>
          <w:szCs w:val="24"/>
        </w:rPr>
        <w:t xml:space="preserve">5.4  可视化界面</w:t>
      </w:r>
    </w:p>
    <w:p>
      <w:pPr>
        <w:spacing w:line="480" w:lineRule="exact"/>
        <w:ind/>
      </w:pPr>
      <w:r>
        <w:rPr>
          <w:rFonts w:ascii="宋体" w:cs="宋体" w:eastAsia="宋体" w:hAnsi="宋体"/>
          <w:b/>
          <w:bCs/>
          <w:sz w:val="24"/>
          <w:szCs w:val="24"/>
        </w:rPr>
        <w:t xml:space="preserve">第六章  实验与结果分析</w:t>
      </w:r>
    </w:p>
    <w:p>
      <w:pPr>
        <w:spacing w:line="480" w:lineRule="exact"/>
        <w:ind w:left="360"/>
      </w:pPr>
      <w:r>
        <w:rPr>
          <w:rFonts w:ascii="宋体" w:cs="宋体" w:eastAsia="宋体" w:hAnsi="宋体"/>
          <w:b w:val="false"/>
          <w:bCs w:val="false"/>
          <w:sz w:val="24"/>
          <w:szCs w:val="24"/>
        </w:rPr>
        <w:t xml:space="preserve">6.1  实验设置</w:t>
      </w:r>
    </w:p>
    <w:p>
      <w:pPr>
        <w:spacing w:line="480" w:lineRule="exact"/>
        <w:ind w:left="360"/>
      </w:pPr>
      <w:r>
        <w:rPr>
          <w:rFonts w:ascii="宋体" w:cs="宋体" w:eastAsia="宋体" w:hAnsi="宋体"/>
          <w:b w:val="false"/>
          <w:bCs w:val="false"/>
          <w:sz w:val="24"/>
          <w:szCs w:val="24"/>
        </w:rPr>
        <w:t xml:space="preserve">6.2  训练过程分析</w:t>
      </w:r>
    </w:p>
    <w:p>
      <w:pPr>
        <w:spacing w:line="480" w:lineRule="exact"/>
        <w:ind w:left="360"/>
      </w:pPr>
      <w:r>
        <w:rPr>
          <w:rFonts w:ascii="宋体" w:cs="宋体" w:eastAsia="宋体" w:hAnsi="宋体"/>
          <w:b w:val="false"/>
          <w:bCs w:val="false"/>
          <w:sz w:val="24"/>
          <w:szCs w:val="24"/>
        </w:rPr>
        <w:t xml:space="preserve">6.3  测试结果分析</w:t>
      </w:r>
    </w:p>
    <w:p>
      <w:pPr>
        <w:spacing w:line="480" w:lineRule="exact"/>
        <w:ind w:left="360"/>
      </w:pPr>
      <w:r>
        <w:rPr>
          <w:rFonts w:ascii="宋体" w:cs="宋体" w:eastAsia="宋体" w:hAnsi="宋体"/>
          <w:b w:val="false"/>
          <w:bCs w:val="false"/>
          <w:sz w:val="24"/>
          <w:szCs w:val="24"/>
        </w:rPr>
        <w:t xml:space="preserve">6.4  消融实验</w:t>
      </w:r>
    </w:p>
    <w:p>
      <w:pPr>
        <w:spacing w:line="480" w:lineRule="exact"/>
        <w:ind/>
      </w:pPr>
      <w:r>
        <w:rPr>
          <w:rFonts w:ascii="宋体" w:cs="宋体" w:eastAsia="宋体" w:hAnsi="宋体"/>
          <w:b/>
          <w:bCs/>
          <w:sz w:val="24"/>
          <w:szCs w:val="24"/>
        </w:rPr>
        <w:t xml:space="preserve">第七章  总结与展望</w:t>
      </w:r>
    </w:p>
    <w:p>
      <w:pPr>
        <w:spacing w:line="480" w:lineRule="exact"/>
        <w:ind/>
      </w:pPr>
      <w:r>
        <w:rPr>
          <w:rFonts w:ascii="宋体" w:cs="宋体" w:eastAsia="宋体" w:hAnsi="宋体"/>
          <w:b/>
          <w:bCs/>
          <w:sz w:val="24"/>
          <w:szCs w:val="24"/>
        </w:rPr>
        <w:t xml:space="preserve">参考文献</w:t>
      </w:r>
    </w:p>
    <w:p>
      <w:pPr>
        <w:spacing w:line="480" w:lineRule="exact"/>
        <w:ind/>
      </w:pPr>
      <w:r>
        <w:rPr>
          <w:rFonts w:ascii="宋体" w:cs="宋体" w:eastAsia="宋体" w:hAnsi="宋体"/>
          <w:b/>
          <w:bCs/>
          <w:sz w:val="24"/>
          <w:szCs w:val="24"/>
        </w:rPr>
        <w:t xml:space="preserve">致谢</w:t>
      </w:r>
    </w:p>
    <w:p>
      <w:pPr>
        <w:spacing w:line="480" w:lineRule="exact"/>
        <w:ind/>
      </w:pPr>
      <w:r>
        <w:rPr>
          <w:rFonts w:ascii="宋体" w:cs="宋体" w:eastAsia="宋体" w:hAnsi="宋体"/>
          <w:b/>
          <w:bCs/>
          <w:sz w:val="24"/>
          <w:szCs w:val="24"/>
        </w:rPr>
        <w:t xml:space="preserve">附录</w:t>
      </w:r>
    </w:p>
    <w:p>
      <w:r>
        <w:br w:type="page"/>
      </w:r>
    </w:p>
    <w:p>
      <w:pPr>
        <w:pStyle w:val="Heading1"/>
        <w:spacing w:after="240" w:before="360" w:line="600" w:lineRule="auto"/>
        <w:jc w:val="left"/>
      </w:pPr>
      <w:r>
        <w:rPr>
          <w:rFonts w:ascii="黑体" w:cs="黑体" w:eastAsia="黑体" w:hAnsi="黑体"/>
          <w:b/>
          <w:bCs/>
          <w:sz w:val="30"/>
          <w:szCs w:val="30"/>
        </w:rPr>
        <w:t xml:space="preserve">第一章  绪论</w:t>
      </w:r>
    </w:p>
    <w:p>
      <w:pPr>
        <w:pStyle w:val="Heading2"/>
        <w:spacing w:after="180" w:before="240" w:line="560" w:lineRule="auto"/>
        <w:jc w:val="left"/>
      </w:pPr>
      <w:r>
        <w:rPr>
          <w:rFonts w:ascii="黑体" w:cs="黑体" w:eastAsia="黑体" w:hAnsi="黑体"/>
          <w:b/>
          <w:bCs/>
          <w:sz w:val="28"/>
          <w:szCs w:val="28"/>
        </w:rPr>
        <w:t xml:space="preserve">1.1  研究背景与意义</w:t>
      </w:r>
    </w:p>
    <w:p>
      <w:pPr>
        <w:spacing w:line="480" w:lineRule="exact"/>
        <w:ind w:firstLine="480"/>
        <w:jc w:val="both"/>
      </w:pPr>
      <w:r>
        <w:rPr>
          <w:rFonts w:ascii="宋体" w:cs="宋体" w:eastAsia="宋体" w:hAnsi="宋体"/>
          <w:sz w:val="24"/>
          <w:szCs w:val="24"/>
        </w:rPr>
        <w:t xml:space="preserve">金融市场是现代经济体系的核心组成部分。截至2024年底，A股市场总市值超过80万亿元，上市公司超过5000家，投资者人数突破2亿[1]。然而，市场的快速扩张也伴随着价格剧烈波动的风险——2015年的"股灾"和2020年的新冠疫情冲击均造成指数短期内单日跌幅超过8%，给众多中小投资者带来重大损失。如何提前识别大跌风险、进行有效的风险预警，已成为金融科技领域的重要研究课题。</w:t>
      </w:r>
    </w:p>
    <w:p>
      <w:pPr>
        <w:spacing w:line="480" w:lineRule="exact"/>
        <w:ind w:firstLine="480"/>
        <w:jc w:val="both"/>
      </w:pPr>
      <w:r>
        <w:rPr>
          <w:rFonts w:ascii="宋体" w:cs="宋体" w:eastAsia="宋体" w:hAnsi="宋体"/>
          <w:sz w:val="24"/>
          <w:szCs w:val="24"/>
        </w:rPr>
        <w:t xml:space="preserve">传统风险管理方法主要依赖移动平均线、相对强弱指标等统计技术工具，这类方法存在三方面局限：第一，高度依赖人工主观判断，缺乏一致性；第二，仅能描述线性统计关系，无法刻画金融市场的非线性动态；第三，难以有效利用高维多源特征，信息提取效率低。近年来，深度学习以其强大的特征自动提取能力和非线性建模能力，在语音识别、图像理解等领域取得了突破性进展[2]，并逐步渗透到金融时间序列预测领域，展现出优于传统方法的预测性能[3]。</w:t>
      </w:r>
    </w:p>
    <w:p>
      <w:pPr>
        <w:spacing w:line="480" w:lineRule="exact"/>
        <w:ind w:firstLine="480"/>
        <w:jc w:val="both"/>
      </w:pPr>
      <w:r>
        <w:rPr>
          <w:rFonts w:ascii="宋体" w:cs="宋体" w:eastAsia="宋体" w:hAnsi="宋体"/>
          <w:sz w:val="24"/>
          <w:szCs w:val="24"/>
        </w:rPr>
        <w:t xml:space="preserve">基于上述背景，本研究设计并实现了一个基于CNN-LSTM-Attention混合深度学习模型的A股市场风险预测系统，以"次日大跌风险识别"为核心任务，具有以下三点意义：</w:t>
      </w:r>
    </w:p>
    <w:p>
      <w:pPr>
        <w:spacing w:line="480" w:lineRule="exact"/>
        <w:ind w:firstLine="480"/>
        <w:jc w:val="both"/>
      </w:pPr>
      <w:r>
        <w:rPr>
          <w:rFonts w:ascii="宋体" w:cs="宋体" w:eastAsia="宋体" w:hAnsi="宋体"/>
          <w:sz w:val="24"/>
          <w:szCs w:val="24"/>
        </w:rPr>
        <w:t xml:space="preserve">（1）理论意义：将CNN的局部特征提取、LSTM的长程时序建模与注意力机制的动态加权三者有机结合，为金融风险的深度学习建模提供了新的方案，丰富了金融科技的理论体系。</w:t>
      </w:r>
    </w:p>
    <w:p>
      <w:pPr>
        <w:spacing w:line="480" w:lineRule="exact"/>
        <w:ind w:firstLine="480"/>
        <w:jc w:val="both"/>
      </w:pPr>
      <w:r>
        <w:rPr>
          <w:rFonts w:ascii="宋体" w:cs="宋体" w:eastAsia="宋体" w:hAnsi="宋体"/>
          <w:sz w:val="24"/>
          <w:szCs w:val="24"/>
        </w:rPr>
        <w:t xml:space="preserve">（2）实践意义：系统为投资者提供了可量化的风险概率输出和可解释的风险原因分析，辅助非专业投资者进行科学决策，降低盲目投资损失。</w:t>
      </w:r>
    </w:p>
    <w:p>
      <w:pPr>
        <w:spacing w:line="480" w:lineRule="exact"/>
        <w:ind w:firstLine="480"/>
        <w:jc w:val="both"/>
      </w:pPr>
      <w:r>
        <w:rPr>
          <w:rFonts w:ascii="宋体" w:cs="宋体" w:eastAsia="宋体" w:hAnsi="宋体"/>
          <w:sz w:val="24"/>
          <w:szCs w:val="24"/>
        </w:rPr>
        <w:t xml:space="preserve">（3）技术意义：研究探索了股票与黄金市场数据的多源融合方案，验证了跨资产联动信息对风险预测的有效性，为多资产组合风险管理提供了技术参考。</w:t>
      </w:r>
    </w:p>
    <w:p>
      <w:pPr>
        <w:pStyle w:val="Heading2"/>
        <w:spacing w:after="180" w:before="240" w:line="560" w:lineRule="auto"/>
        <w:jc w:val="left"/>
      </w:pPr>
      <w:r>
        <w:rPr>
          <w:rFonts w:ascii="黑体" w:cs="黑体" w:eastAsia="黑体" w:hAnsi="黑体"/>
          <w:b/>
          <w:bCs/>
          <w:sz w:val="28"/>
          <w:szCs w:val="28"/>
        </w:rPr>
        <w:t xml:space="preserve">1.2  国内外研究现状</w:t>
      </w:r>
    </w:p>
    <w:p>
      <w:pPr>
        <w:spacing w:line="480" w:lineRule="exact"/>
        <w:ind w:firstLine="480"/>
        <w:jc w:val="both"/>
      </w:pPr>
      <w:r>
        <w:rPr>
          <w:rFonts w:ascii="宋体" w:cs="宋体" w:eastAsia="宋体" w:hAnsi="宋体"/>
          <w:sz w:val="24"/>
          <w:szCs w:val="24"/>
        </w:rPr>
        <w:t xml:space="preserve">深度学习在金融预测领域的研究起步于21世纪初，近十年来随着计算能力的提升和大规模金融数据集的积累，相关研究成果日益丰富。</w:t>
      </w:r>
    </w:p>
    <w:p>
      <w:pPr>
        <w:spacing w:line="480" w:lineRule="exact"/>
        <w:ind w:firstLine="480"/>
        <w:jc w:val="both"/>
      </w:pPr>
      <w:r>
        <w:rPr>
          <w:rFonts w:ascii="宋体" w:cs="宋体" w:eastAsia="宋体" w:hAnsi="宋体"/>
          <w:sz w:val="24"/>
          <w:szCs w:val="24"/>
        </w:rPr>
        <w:t xml:space="preserve">在序列模型方面，Fischer和Krauss[4]较早系统验证了LSTM网络在标普500指数成分股预测任务中的优越性，发现LSTM能够有效捕捉多步滞后效应，显著优于基于随机游走假设的传统统计方法。Sezer等[5]在对2005—2019年间200余篇文献的系统综述中指出，CNN和LSTM是金融时间序列预测领域使用最广泛的两类架构。Chen等[6]通过大量实验证明，将注意力机制与LSTM结合后，模型在沪深A股预测中的MAE降低约12%，表明注意力机制能够有效识别对预测贡献最大的历史时间步。</w:t>
      </w:r>
    </w:p>
    <w:p>
      <w:pPr>
        <w:spacing w:line="480" w:lineRule="exact"/>
        <w:ind w:firstLine="480"/>
        <w:jc w:val="both"/>
      </w:pPr>
      <w:r>
        <w:rPr>
          <w:rFonts w:ascii="宋体" w:cs="宋体" w:eastAsia="宋体" w:hAnsi="宋体"/>
          <w:sz w:val="24"/>
          <w:szCs w:val="24"/>
        </w:rPr>
        <w:t xml:space="preserve">在多源数据融合方面，Feng等[7]融合股票交易量价数据、财经新闻情感与社交媒体情绪，构建了多模态预测模型，在短期预测任务中取得了更稳定的结果。在国内，张伟等[8]使用LSTM对沪深300指数进行预测，分析了窗口长度和隐层规模对性能的影响；李明等[9]提出GRU结合注意力机制的模型，在上证指数预测中取得了较高准确率；王强等[10]将深度强化学习应用于量化交易策略，实现了端到端的自动化交易决策。</w:t>
      </w:r>
    </w:p>
    <w:p>
      <w:pPr>
        <w:spacing w:line="480" w:lineRule="exact"/>
        <w:ind w:firstLine="480"/>
        <w:jc w:val="both"/>
      </w:pPr>
      <w:r>
        <w:rPr>
          <w:rFonts w:ascii="宋体" w:cs="宋体" w:eastAsia="宋体" w:hAnsi="宋体"/>
          <w:sz w:val="24"/>
          <w:szCs w:val="24"/>
        </w:rPr>
        <w:t xml:space="preserve">综合已有研究，仍存在以下不足：大部分工作聚焦于价格趋势预测，而非直接针对"大跌风险"这一不平衡分类任务；在模型架构上，CNN与LSTM的组合已有研究，但三者（CNN、LSTM、Attention）的联合建模并应用于A股风险预测的工作仍较少；此外，多数研究仅停留在算法实验层面，缺乏可部署的完整系统实现。本研究正是针对上述不足，以风险识别任务为核心，设计了混合深度学习模型并完成了系统层面的工程实现。</w:t>
      </w:r>
    </w:p>
    <w:p>
      <w:pPr>
        <w:pStyle w:val="Heading2"/>
        <w:spacing w:after="180" w:before="240" w:line="560" w:lineRule="auto"/>
        <w:jc w:val="left"/>
      </w:pPr>
      <w:r>
        <w:rPr>
          <w:rFonts w:ascii="黑体" w:cs="黑体" w:eastAsia="黑体" w:hAnsi="黑体"/>
          <w:b/>
          <w:bCs/>
          <w:sz w:val="28"/>
          <w:szCs w:val="28"/>
        </w:rPr>
        <w:t xml:space="preserve">1.3  研究目标与主要工作</w:t>
      </w:r>
    </w:p>
    <w:p>
      <w:pPr>
        <w:spacing w:line="480" w:lineRule="exact"/>
        <w:ind w:firstLine="480"/>
        <w:jc w:val="both"/>
      </w:pPr>
      <w:r>
        <w:rPr>
          <w:rFonts w:ascii="宋体" w:cs="宋体" w:eastAsia="宋体" w:hAnsi="宋体"/>
          <w:sz w:val="24"/>
          <w:szCs w:val="24"/>
        </w:rPr>
        <w:t xml:space="preserve">本研究的核心目标是：以A股市场"次日大跌"（跌幅超过1.5%）为风险事件，构建一个基于CNN-LSTM-Attention的二分类预测模型，并在此基础上开发完整的风险预测系统，使模型准确率达到85%以上、风险召回率达到80%以上。</w:t>
      </w:r>
    </w:p>
    <w:p>
      <w:pPr>
        <w:spacing w:line="480" w:lineRule="exact"/>
        <w:ind w:firstLine="480"/>
        <w:jc w:val="both"/>
      </w:pPr>
      <w:r>
        <w:rPr>
          <w:rFonts w:ascii="宋体" w:cs="宋体" w:eastAsia="宋体" w:hAnsi="宋体"/>
          <w:sz w:val="24"/>
          <w:szCs w:val="24"/>
        </w:rPr>
        <w:t xml:space="preserve">围绕该目标，本文完成了以下主要工作：</w:t>
      </w:r>
    </w:p>
    <w:p>
      <w:pPr>
        <w:spacing w:line="480" w:lineRule="exact"/>
        <w:ind w:firstLine="480"/>
        <w:jc w:val="both"/>
      </w:pPr>
      <w:r>
        <w:rPr>
          <w:rFonts w:ascii="宋体" w:cs="宋体" w:eastAsia="宋体" w:hAnsi="宋体"/>
          <w:sz w:val="24"/>
          <w:szCs w:val="24"/>
        </w:rPr>
        <w:t xml:space="preserve">第一，系统地进行了金融时间序列的特征工程，从原始行情数据出发构建了包含价格、趋势、动量、波动率等维度共7项特征的输入向量。</w:t>
      </w:r>
    </w:p>
    <w:p>
      <w:pPr>
        <w:spacing w:line="480" w:lineRule="exact"/>
        <w:ind w:firstLine="480"/>
        <w:jc w:val="both"/>
      </w:pPr>
      <w:r>
        <w:rPr>
          <w:rFonts w:ascii="宋体" w:cs="宋体" w:eastAsia="宋体" w:hAnsi="宋体"/>
          <w:sz w:val="24"/>
          <w:szCs w:val="24"/>
        </w:rPr>
        <w:t xml:space="preserve">第二，设计并实现了CNN-LSTM-Attention混合神经网络，通过模块化的层次结构依次完成短期局部特征提取、长程时序建模与关键时间步加权三个步骤。</w:t>
      </w:r>
    </w:p>
    <w:p>
      <w:pPr>
        <w:spacing w:line="480" w:lineRule="exact"/>
        <w:ind w:firstLine="480"/>
        <w:jc w:val="both"/>
      </w:pPr>
      <w:r>
        <w:rPr>
          <w:rFonts w:ascii="宋体" w:cs="宋体" w:eastAsia="宋体" w:hAnsi="宋体"/>
          <w:sz w:val="24"/>
          <w:szCs w:val="24"/>
        </w:rPr>
        <w:t xml:space="preserve">第三，针对风险事件样本稀少（约占18%）的类别不平衡问题，提出了动态类别权重策略，结合早停和Dropout正则化，显著提升了模型对风险事件的识别率。</w:t>
      </w:r>
    </w:p>
    <w:p>
      <w:pPr>
        <w:spacing w:line="480" w:lineRule="exact"/>
        <w:ind w:firstLine="480"/>
        <w:jc w:val="both"/>
      </w:pPr>
      <w:r>
        <w:rPr>
          <w:rFonts w:ascii="宋体" w:cs="宋体" w:eastAsia="宋体" w:hAnsi="宋体"/>
          <w:sz w:val="24"/>
          <w:szCs w:val="24"/>
        </w:rPr>
        <w:t xml:space="preserve">第四，基于Streamlit框架开发了交互式Web应用，将数据获取、模型推理、结果可视化集成为一个完整的风险预测系统。</w:t>
      </w:r>
    </w:p>
    <w:p>
      <w:pPr>
        <w:pStyle w:val="Heading2"/>
        <w:spacing w:after="180" w:before="240" w:line="560" w:lineRule="auto"/>
        <w:jc w:val="left"/>
      </w:pPr>
      <w:r>
        <w:rPr>
          <w:rFonts w:ascii="黑体" w:cs="黑体" w:eastAsia="黑体" w:hAnsi="黑体"/>
          <w:b/>
          <w:bCs/>
          <w:sz w:val="28"/>
          <w:szCs w:val="28"/>
        </w:rPr>
        <w:t xml:space="preserve">1.4  论文组织结构</w:t>
      </w:r>
    </w:p>
    <w:p>
      <w:pPr>
        <w:spacing w:line="480" w:lineRule="exact"/>
        <w:ind w:firstLine="480"/>
        <w:jc w:val="both"/>
      </w:pPr>
      <w:r>
        <w:rPr>
          <w:rFonts w:ascii="宋体" w:cs="宋体" w:eastAsia="宋体" w:hAnsi="宋体"/>
          <w:sz w:val="24"/>
          <w:szCs w:val="24"/>
        </w:rPr>
        <w:t xml:space="preserve">本论文共分七章。第一章为绪论，介绍研究背景、现状与主要工作；第二章介绍CNN、LSTM和注意力机制的技术基础；第三章描述系统总体架构与技术选型；第四章详细阐述模型设计与特征工程；第五章介绍各功能模块的工程实现；第六章通过实验验证模型有效性并进行消融分析；第七章总结全文并展望未来工作。</w:t>
      </w:r>
    </w:p>
    <w:p>
      <w:r>
        <w:br w:type="page"/>
      </w:r>
    </w:p>
    <w:p>
      <w:pPr>
        <w:pStyle w:val="Heading1"/>
        <w:spacing w:after="240" w:before="360" w:line="600" w:lineRule="auto"/>
        <w:jc w:val="left"/>
      </w:pPr>
      <w:r>
        <w:rPr>
          <w:rFonts w:ascii="黑体" w:cs="黑体" w:eastAsia="黑体" w:hAnsi="黑体"/>
          <w:b/>
          <w:bCs/>
          <w:sz w:val="30"/>
          <w:szCs w:val="30"/>
        </w:rPr>
        <w:t xml:space="preserve">第二章  相关技术基础</w:t>
      </w:r>
    </w:p>
    <w:p>
      <w:pPr>
        <w:pStyle w:val="Heading2"/>
        <w:spacing w:after="180" w:before="240" w:line="560" w:lineRule="auto"/>
        <w:jc w:val="left"/>
      </w:pPr>
      <w:r>
        <w:rPr>
          <w:rFonts w:ascii="黑体" w:cs="黑体" w:eastAsia="黑体" w:hAnsi="黑体"/>
          <w:b/>
          <w:bCs/>
          <w:sz w:val="28"/>
          <w:szCs w:val="28"/>
        </w:rPr>
        <w:t xml:space="preserve">2.1  卷积神经网络（CNN）</w:t>
      </w:r>
    </w:p>
    <w:p>
      <w:pPr>
        <w:spacing w:line="480" w:lineRule="exact"/>
        <w:ind w:firstLine="480"/>
        <w:jc w:val="both"/>
      </w:pPr>
      <w:r>
        <w:rPr>
          <w:rFonts w:ascii="宋体" w:cs="宋体" w:eastAsia="宋体" w:hAnsi="宋体"/>
          <w:sz w:val="24"/>
          <w:szCs w:val="24"/>
        </w:rPr>
        <w:t xml:space="preserve">卷积神经网络最初为图像识别任务设计，其核心思想是通过可学习的卷积核在输入数据上滑动，提取局部特征。在时间序列场景下，一维卷积（Conv1D）将卷积核沿时间轴方向滑动，能够有效检测固定长度窗口内的局部波动模式。一维卷积的数学定义为：</w:t>
      </w:r>
    </w:p>
    <w:p>
      <w:pPr>
        <w:spacing w:line="480" w:lineRule="exact"/>
        <w:ind w:firstLine="720"/>
      </w:pPr>
      <w:r>
        <w:rPr>
          <w:rFonts w:ascii="Times New Roman" w:cs="Times New Roman" w:eastAsia="Times New Roman" w:hAnsi="Times New Roman"/>
          <w:i/>
          <w:iCs/>
          <w:sz w:val="24"/>
          <w:szCs w:val="24"/>
        </w:rPr>
        <w:t xml:space="preserve">y_i = f( Σ_j w_j · x_(i+j) + b )</w:t>
      </w:r>
    </w:p>
    <w:p>
      <w:pPr>
        <w:spacing w:line="480" w:lineRule="exact"/>
        <w:ind w:firstLine="480"/>
        <w:jc w:val="both"/>
      </w:pPr>
      <w:r>
        <w:rPr>
          <w:rFonts w:ascii="宋体" w:cs="宋体" w:eastAsia="宋体" w:hAnsi="宋体"/>
          <w:sz w:val="24"/>
          <w:szCs w:val="24"/>
        </w:rPr>
        <w:t xml:space="preserve">其中 x 为输入时间序列，w 为卷积核权重，b 为偏置，f 为ReLU激活函数。使用多个卷积核可以并行提取不同模式的局部特征。卷积层后通常跟随最大池化（MaxPooling）层，在降低特征维度的同时增强平移不变性。</w:t>
      </w:r>
    </w:p>
    <w:p>
      <w:pPr>
        <w:spacing w:line="480" w:lineRule="exact"/>
        <w:ind w:firstLine="480"/>
        <w:jc w:val="both"/>
      </w:pPr>
      <w:r>
        <w:rPr>
          <w:rFonts w:ascii="宋体" w:cs="宋体" w:eastAsia="宋体" w:hAnsi="宋体"/>
          <w:sz w:val="24"/>
          <w:szCs w:val="24"/>
        </w:rPr>
        <w:t xml:space="preserve">在金融时序预测中，Conv1D的优势在于：价格序列往往蕴含固定时间尺度的规律（如"五日内快速拉升后回落"等形态），而卷积核恰好适合捕捉这类局部结构特征，且参数量远小于全连接层，不易过拟合。</w:t>
      </w:r>
    </w:p>
    <w:p>
      <w:pPr>
        <w:pStyle w:val="Heading2"/>
        <w:spacing w:after="180" w:before="240" w:line="560" w:lineRule="auto"/>
        <w:jc w:val="left"/>
      </w:pPr>
      <w:r>
        <w:rPr>
          <w:rFonts w:ascii="黑体" w:cs="黑体" w:eastAsia="黑体" w:hAnsi="黑体"/>
          <w:b/>
          <w:bCs/>
          <w:sz w:val="28"/>
          <w:szCs w:val="28"/>
        </w:rPr>
        <w:t xml:space="preserve">2.2  长短期记忆网络（LSTM）</w:t>
      </w:r>
    </w:p>
    <w:p>
      <w:pPr>
        <w:spacing w:line="480" w:lineRule="exact"/>
        <w:ind w:firstLine="480"/>
        <w:jc w:val="both"/>
      </w:pPr>
      <w:r>
        <w:rPr>
          <w:rFonts w:ascii="宋体" w:cs="宋体" w:eastAsia="宋体" w:hAnsi="宋体"/>
          <w:sz w:val="24"/>
          <w:szCs w:val="24"/>
        </w:rPr>
        <w:t xml:space="preserve">循环神经网络（RNN）通过在相邻时间步之间传递隐藏状态来建模序列数据，但原始RNN存在梯度消失问题，难以学习超过十步以上的长程依赖[11]。LSTM通过在细胞状态上引入三个可学习门控（遗忘门、输入门、输出门），有效解决了上述问题，其核心公式为：</w:t>
      </w:r>
    </w:p>
    <w:p>
      <w:pPr>
        <w:spacing w:line="480" w:lineRule="exact"/>
        <w:ind w:firstLine="720"/>
      </w:pPr>
      <w:r>
        <w:rPr>
          <w:rFonts w:ascii="Times New Roman" w:cs="Times New Roman" w:eastAsia="Times New Roman" w:hAnsi="Times New Roman"/>
          <w:i/>
          <w:iCs/>
          <w:sz w:val="24"/>
          <w:szCs w:val="24"/>
        </w:rPr>
        <w:t xml:space="preserve">f_t = σ(W_f · [h_{t-1}, x_t] + b_f)</w:t>
      </w:r>
    </w:p>
    <w:p>
      <w:pPr>
        <w:spacing w:line="480" w:lineRule="exact"/>
        <w:ind w:firstLine="720"/>
      </w:pPr>
      <w:r>
        <w:rPr>
          <w:rFonts w:ascii="Times New Roman" w:cs="Times New Roman" w:eastAsia="Times New Roman" w:hAnsi="Times New Roman"/>
          <w:i/>
          <w:iCs/>
          <w:sz w:val="24"/>
          <w:szCs w:val="24"/>
        </w:rPr>
        <w:t xml:space="preserve">i_t = σ(W_i · [h_{t-1}, x_t] + b_i),   C̃_t = tanh(W_C · [h_{t-1}, x_t] + b_C)</w:t>
      </w:r>
    </w:p>
    <w:p>
      <w:pPr>
        <w:spacing w:line="480" w:lineRule="exact"/>
        <w:ind w:firstLine="720"/>
      </w:pPr>
      <w:r>
        <w:rPr>
          <w:rFonts w:ascii="Times New Roman" w:cs="Times New Roman" w:eastAsia="Times New Roman" w:hAnsi="Times New Roman"/>
          <w:i/>
          <w:iCs/>
          <w:sz w:val="24"/>
          <w:szCs w:val="24"/>
        </w:rPr>
        <w:t xml:space="preserve">C_t = f_t ⊙ C_{t-1} + i_t ⊙ C̃_t</w:t>
      </w:r>
    </w:p>
    <w:p>
      <w:pPr>
        <w:spacing w:line="480" w:lineRule="exact"/>
        <w:ind w:firstLine="720"/>
      </w:pPr>
      <w:r>
        <w:rPr>
          <w:rFonts w:ascii="Times New Roman" w:cs="Times New Roman" w:eastAsia="Times New Roman" w:hAnsi="Times New Roman"/>
          <w:i/>
          <w:iCs/>
          <w:sz w:val="24"/>
          <w:szCs w:val="24"/>
        </w:rPr>
        <w:t xml:space="preserve">o_t = σ(W_o · [h_{t-1}, x_t] + b_o),   h_t = o_t ⊙ tanh(C_t)</w:t>
      </w:r>
    </w:p>
    <w:p>
      <w:pPr>
        <w:spacing w:line="480" w:lineRule="exact"/>
        <w:ind w:firstLine="480"/>
        <w:jc w:val="both"/>
      </w:pPr>
      <w:r>
        <w:rPr>
          <w:rFonts w:ascii="宋体" w:cs="宋体" w:eastAsia="宋体" w:hAnsi="宋体"/>
          <w:sz w:val="24"/>
          <w:szCs w:val="24"/>
        </w:rPr>
        <w:t xml:space="preserve">其中 σ 为Sigmoid函数，⊙ 表示逐元素乘法，C_t 为细胞状态，h_t 为隐藏状态。遗忘门 f_t 决定保留多少过去信息，输入门 i_t 决定写入多少新信息，输出门 o_t 控制当前步的输出比例。正是这种精细的门控机制使LSTM能够根据任务需要，在上百个时间步的范围内选择性地保留关键历史信息。</w:t>
      </w:r>
    </w:p>
    <w:p>
      <w:pPr>
        <w:spacing w:line="480" w:lineRule="exact"/>
        <w:ind w:firstLine="480"/>
        <w:jc w:val="both"/>
      </w:pPr>
      <w:r>
        <w:rPr>
          <w:rFonts w:ascii="宋体" w:cs="宋体" w:eastAsia="宋体" w:hAnsi="宋体"/>
          <w:sz w:val="24"/>
          <w:szCs w:val="24"/>
        </w:rPr>
        <w:t xml:space="preserve">在金融时序预测中，LSTM的优势在于能够捕捉多尺度的价格趋势——既可记住数周前的关键形态，又能对最近几日的变化敏感，这恰好契合了市场"有记忆性"的特点。</w:t>
      </w:r>
    </w:p>
    <w:p>
      <w:pPr>
        <w:pStyle w:val="Heading2"/>
        <w:spacing w:after="180" w:before="240" w:line="560" w:lineRule="auto"/>
        <w:jc w:val="left"/>
      </w:pPr>
      <w:r>
        <w:rPr>
          <w:rFonts w:ascii="黑体" w:cs="黑体" w:eastAsia="黑体" w:hAnsi="黑体"/>
          <w:b/>
          <w:bCs/>
          <w:sz w:val="28"/>
          <w:szCs w:val="28"/>
        </w:rPr>
        <w:t xml:space="preserve">2.3  注意力机制</w:t>
      </w:r>
    </w:p>
    <w:p>
      <w:pPr>
        <w:spacing w:line="480" w:lineRule="exact"/>
        <w:ind w:firstLine="480"/>
        <w:jc w:val="both"/>
      </w:pPr>
      <w:r>
        <w:rPr>
          <w:rFonts w:ascii="宋体" w:cs="宋体" w:eastAsia="宋体" w:hAnsi="宋体"/>
          <w:sz w:val="24"/>
          <w:szCs w:val="24"/>
        </w:rPr>
        <w:t xml:space="preserve">注意力机制（Attention Mechanism）由Bahdanau等[12]在机器翻译领域提出，其核心思想是：对于一个序列的每个位置，动态计算该位置与其他所有位置的相关权重，并以加权求和的方式聚合全局信息。在时序预测任务中，注意力机制能够让模型自动识别对预测最重要的历史时刻。其计算流程如下：</w:t>
      </w:r>
    </w:p>
    <w:p>
      <w:pPr>
        <w:spacing w:line="480" w:lineRule="exact"/>
        <w:ind w:firstLine="480"/>
        <w:jc w:val="both"/>
      </w:pPr>
      <w:r>
        <w:rPr>
          <w:rFonts w:ascii="宋体" w:cs="宋体" w:eastAsia="宋体" w:hAnsi="宋体"/>
          <w:sz w:val="24"/>
          <w:szCs w:val="24"/>
        </w:rPr>
        <w:t xml:space="preserve">首先，对序列中每个时间步的隐藏状态 h_i 计算注意力得分（score），然后通过Softmax归一化得到权重 α_i，最终加权求和得到上下文向量 c：</w:t>
      </w:r>
    </w:p>
    <w:p>
      <w:pPr>
        <w:spacing w:line="480" w:lineRule="exact"/>
        <w:ind w:firstLine="720"/>
      </w:pPr>
      <w:r>
        <w:rPr>
          <w:rFonts w:ascii="Times New Roman" w:cs="Times New Roman" w:eastAsia="Times New Roman" w:hAnsi="Times New Roman"/>
          <w:i/>
          <w:iCs/>
          <w:sz w:val="24"/>
          <w:szCs w:val="24"/>
        </w:rPr>
        <w:t xml:space="preserve">score_i = V^T · tanh(W · h_i)</w:t>
      </w:r>
    </w:p>
    <w:p>
      <w:pPr>
        <w:spacing w:line="480" w:lineRule="exact"/>
        <w:ind w:firstLine="720"/>
      </w:pPr>
      <w:r>
        <w:rPr>
          <w:rFonts w:ascii="Times New Roman" w:cs="Times New Roman" w:eastAsia="Times New Roman" w:hAnsi="Times New Roman"/>
          <w:i/>
          <w:iCs/>
          <w:sz w:val="24"/>
          <w:szCs w:val="24"/>
        </w:rPr>
        <w:t xml:space="preserve">α_i = exp(score_i) / Σ_j exp(score_j),   c = Σ_i α_i · h_i</w:t>
      </w:r>
    </w:p>
    <w:p>
      <w:pPr>
        <w:spacing w:line="480" w:lineRule="exact"/>
        <w:ind w:firstLine="480"/>
        <w:jc w:val="both"/>
      </w:pPr>
      <w:r>
        <w:rPr>
          <w:rFonts w:ascii="宋体" w:cs="宋体" w:eastAsia="宋体" w:hAnsi="宋体"/>
          <w:sz w:val="24"/>
          <w:szCs w:val="24"/>
        </w:rPr>
        <w:t xml:space="preserve">其中 W 和 V 为可学习参数。在风险预测场景下，注意力权重 α_i 的分布还具有可解释性——权重较高的时间步通常对应历史上重要的价格拐点或异常波动，为用户理解模型决策依据提供了依据。</w:t>
      </w:r>
    </w:p>
    <w:p>
      <w:r>
        <w:br w:type="page"/>
      </w:r>
    </w:p>
    <w:p>
      <w:pPr>
        <w:pStyle w:val="Heading1"/>
        <w:spacing w:after="240" w:before="360" w:line="600" w:lineRule="auto"/>
        <w:jc w:val="left"/>
      </w:pPr>
      <w:r>
        <w:rPr>
          <w:rFonts w:ascii="黑体" w:cs="黑体" w:eastAsia="黑体" w:hAnsi="黑体"/>
          <w:b/>
          <w:bCs/>
          <w:sz w:val="30"/>
          <w:szCs w:val="30"/>
        </w:rPr>
        <w:t xml:space="preserve">第三章  系统总体设计</w:t>
      </w:r>
    </w:p>
    <w:p>
      <w:pPr>
        <w:pStyle w:val="Heading2"/>
        <w:spacing w:after="180" w:before="240" w:line="560" w:lineRule="auto"/>
        <w:jc w:val="left"/>
      </w:pPr>
      <w:r>
        <w:rPr>
          <w:rFonts w:ascii="黑体" w:cs="黑体" w:eastAsia="黑体" w:hAnsi="黑体"/>
          <w:b/>
          <w:bCs/>
          <w:sz w:val="28"/>
          <w:szCs w:val="28"/>
        </w:rPr>
        <w:t xml:space="preserve">3.1  系统架构</w:t>
      </w:r>
    </w:p>
    <w:p>
      <w:pPr>
        <w:spacing w:line="480" w:lineRule="exact"/>
        <w:ind w:firstLine="480"/>
        <w:jc w:val="both"/>
      </w:pPr>
      <w:r>
        <w:rPr>
          <w:rFonts w:ascii="宋体" w:cs="宋体" w:eastAsia="宋体" w:hAnsi="宋体"/>
          <w:sz w:val="24"/>
          <w:szCs w:val="24"/>
        </w:rPr>
        <w:t xml:space="preserve">本系统采用分层架构，从下至上分为数据层、模型层和应用层三层（见图3-1）。数据层负责通过akshare API获取股票与黄金市场行情数据，并以CSV文件格式持久化存储；模型层包含特征工程、模型训练与推理等核心计算逻辑；应用层基于Streamlit构建交互式Web界面，调用模型层功能并以图表、文字等形式向用户呈现结果。</w:t>
      </w:r>
    </w:p>
    <w:p>
      <w:pPr>
        <w:spacing w:line="480" w:lineRule="exact"/>
      </w:pPr>
      <w:r>
        <w:rPr>
          <w:rFonts w:ascii="宋体" w:cs="宋体" w:eastAsia="宋体" w:hAnsi="宋体"/>
          <w:sz w:val="24"/>
          <w:szCs w:val="24"/>
        </w:rPr>
        <w:t xml:space="preserve"/>
      </w:r>
    </w:p>
    <w:p>
      <w:pPr>
        <w:spacing w:after="60" w:before="120"/>
        <w:jc w:val="center"/>
      </w:pPr>
      <w:r>
        <w:drawing>
          <wp:inline distT="0" distB="0" distL="0" distR="0">
            <wp:extent cx="3771900" cy="2400300"/>
            <wp:effectExtent t="0" r="0" b="0" l="0"/>
            <wp:docPr id="1"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71900" cy="2400300"/>
                    </a:xfrm>
                    <a:prstGeom prst="rect">
                      <a:avLst/>
                    </a:prstGeom>
                  </pic:spPr>
                </pic:pic>
              </a:graphicData>
            </a:graphic>
          </wp:inline>
        </w:drawing>
      </w:r>
    </w:p>
    <w:p>
      <w:pPr>
        <w:spacing w:after="120" w:before="60" w:line="420" w:lineRule="exact"/>
        <w:jc w:val="center"/>
      </w:pPr>
      <w:r>
        <w:rPr>
          <w:rFonts w:ascii="宋体" w:cs="宋体" w:eastAsia="宋体" w:hAnsi="宋体"/>
          <w:b w:val="false"/>
          <w:bCs w:val="false"/>
          <w:sz w:val="21"/>
          <w:szCs w:val="21"/>
        </w:rPr>
        <w:t xml:space="preserve">图3-1  系统总体架构图</w:t>
      </w:r>
    </w:p>
    <w:p>
      <w:pPr>
        <w:spacing w:line="480" w:lineRule="exact"/>
      </w:pPr>
      <w:r>
        <w:rPr>
          <w:rFonts w:ascii="宋体" w:cs="宋体" w:eastAsia="宋体" w:hAnsi="宋体"/>
          <w:sz w:val="24"/>
          <w:szCs w:val="24"/>
        </w:rPr>
        <w:t xml:space="preserve"/>
      </w:r>
    </w:p>
    <w:p>
      <w:pPr>
        <w:spacing w:line="480" w:lineRule="exact"/>
        <w:ind w:firstLine="480"/>
        <w:jc w:val="both"/>
      </w:pPr>
      <w:r>
        <w:rPr>
          <w:rFonts w:ascii="宋体" w:cs="宋体" w:eastAsia="宋体" w:hAnsi="宋体"/>
          <w:sz w:val="24"/>
          <w:szCs w:val="24"/>
        </w:rPr>
        <w:t xml:space="preserve">这种分层设计的优势在于：各层职责清晰，模型逻辑与界面逻辑解耦，方便独立替换或扩展。例如，若需替换为更先进的Transformer模型，只需修改模型层，界面层无需任何改动。</w:t>
      </w:r>
    </w:p>
    <w:p>
      <w:pPr>
        <w:pStyle w:val="Heading2"/>
        <w:spacing w:after="180" w:before="240" w:line="560" w:lineRule="auto"/>
        <w:jc w:val="left"/>
      </w:pPr>
      <w:r>
        <w:rPr>
          <w:rFonts w:ascii="黑体" w:cs="黑体" w:eastAsia="黑体" w:hAnsi="黑体"/>
          <w:b/>
          <w:bCs/>
          <w:sz w:val="28"/>
          <w:szCs w:val="28"/>
        </w:rPr>
        <w:t xml:space="preserve">3.2  技术选型</w:t>
      </w:r>
    </w:p>
    <w:p>
      <w:pPr>
        <w:spacing w:line="480" w:lineRule="exact"/>
        <w:ind w:firstLine="480"/>
        <w:jc w:val="both"/>
      </w:pPr>
      <w:r>
        <w:rPr>
          <w:rFonts w:ascii="宋体" w:cs="宋体" w:eastAsia="宋体" w:hAnsi="宋体"/>
          <w:sz w:val="24"/>
          <w:szCs w:val="24"/>
        </w:rPr>
        <w:t xml:space="preserve">系统全部采用Python生态实现。深度学习框架选用TensorFlow 2.x（Keras高级API），其成熟稳定的生态与完善的文档支持是工程实现的重要保障；数据处理使用Pandas与NumPy，前者提供高效的时间序列切片与滚动计算能力，后者提供底层数值运算支撑；数据获取使用akshare库，该库免费提供沪深300、上证指数、深证成指、创业板指及上海黄金交易所等多种市场的日行情数据；交互式应用基于Streamlit框架快速构建，图表绘制使用Plotly以实现缩放、悬停等交互操作。</w:t>
      </w:r>
    </w:p>
    <w:p>
      <w:pPr>
        <w:pStyle w:val="Heading2"/>
        <w:spacing w:after="180" w:before="240" w:line="560" w:lineRule="auto"/>
        <w:jc w:val="left"/>
      </w:pPr>
      <w:r>
        <w:rPr>
          <w:rFonts w:ascii="黑体" w:cs="黑体" w:eastAsia="黑体" w:hAnsi="黑体"/>
          <w:b/>
          <w:bCs/>
          <w:sz w:val="28"/>
          <w:szCs w:val="28"/>
        </w:rPr>
        <w:t xml:space="preserve">3.3  模块划分</w:t>
      </w:r>
    </w:p>
    <w:p>
      <w:pPr>
        <w:spacing w:line="480" w:lineRule="exact"/>
        <w:ind w:firstLine="480"/>
        <w:jc w:val="both"/>
      </w:pPr>
      <w:r>
        <w:rPr>
          <w:rFonts w:ascii="宋体" w:cs="宋体" w:eastAsia="宋体" w:hAnsi="宋体"/>
          <w:sz w:val="24"/>
          <w:szCs w:val="24"/>
        </w:rPr>
        <w:t xml:space="preserve">系统由以下五个模块组成，各模块的文件名与职责如表3-1所示。</w:t>
      </w:r>
    </w:p>
    <w:p>
      <w:pPr>
        <w:spacing w:line="480" w:lineRule="exact"/>
      </w:pPr>
      <w:r>
        <w:rPr>
          <w:rFonts w:ascii="宋体" w:cs="宋体" w:eastAsia="宋体" w:hAnsi="宋体"/>
          <w:sz w:val="24"/>
          <w:szCs w:val="24"/>
        </w:rPr>
        <w:t xml:space="preserve"/>
      </w:r>
    </w:p>
    <w:p>
      <w:pPr>
        <w:spacing w:after="60" w:before="60"/>
        <w:jc w:val="center"/>
      </w:pPr>
      <w:r>
        <w:rPr>
          <w:rFonts w:ascii="宋体" w:cs="宋体" w:eastAsia="宋体" w:hAnsi="宋体"/>
          <w:sz w:val="21"/>
          <w:szCs w:val="21"/>
        </w:rPr>
        <w:t xml:space="preserve">表3-1  系统模块划分</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900"/>
      </w:tblGrid>
      <w:tr>
        <w:tc>
          <w:tcPr>
            <w:tcW w:type="dxa" w:w="22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spacing w:line="360" w:lineRule="exact"/>
              <w:jc w:val="center"/>
            </w:pPr>
            <w:r>
              <w:rPr>
                <w:rFonts w:ascii="宋体" w:cs="宋体" w:eastAsia="宋体" w:hAnsi="宋体"/>
                <w:b/>
                <w:bCs/>
                <w:sz w:val="21"/>
                <w:szCs w:val="21"/>
              </w:rPr>
              <w:t xml:space="preserve">模块名称</w:t>
            </w:r>
          </w:p>
        </w:tc>
        <w:tc>
          <w:tcPr>
            <w:tcW w:type="dxa" w:w="22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spacing w:line="360" w:lineRule="exact"/>
              <w:jc w:val="center"/>
            </w:pPr>
            <w:r>
              <w:rPr>
                <w:rFonts w:ascii="宋体" w:cs="宋体" w:eastAsia="宋体" w:hAnsi="宋体"/>
                <w:b/>
                <w:bCs/>
                <w:sz w:val="21"/>
                <w:szCs w:val="21"/>
              </w:rPr>
              <w:t xml:space="preserve">文件</w:t>
            </w:r>
          </w:p>
        </w:tc>
        <w:tc>
          <w:tcPr>
            <w:tcW w:type="dxa" w:w="39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spacing w:line="360" w:lineRule="exact"/>
              <w:jc w:val="center"/>
            </w:pPr>
            <w:r>
              <w:rPr>
                <w:rFonts w:ascii="宋体" w:cs="宋体" w:eastAsia="宋体" w:hAnsi="宋体"/>
                <w:b/>
                <w:bCs/>
                <w:sz w:val="21"/>
                <w:szCs w:val="21"/>
              </w:rPr>
              <w:t xml:space="preserve">主要职责</w:t>
            </w:r>
          </w:p>
        </w:tc>
      </w:tr>
      <w:tr>
        <w:tc>
          <w:tcPr>
            <w:tcW w:type="dxa" w:w="22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数据采集模块</w:t>
            </w:r>
          </w:p>
        </w:tc>
        <w:tc>
          <w:tcPr>
            <w:tcW w:type="dxa" w:w="22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data_download.py</w:t>
            </w:r>
          </w:p>
        </w:tc>
        <w:tc>
          <w:tcPr>
            <w:tcW w:type="dxa" w:w="39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通过akshare下载股票/黄金日行情数据</w:t>
            </w:r>
          </w:p>
        </w:tc>
      </w:tr>
      <w:tr>
        <w:tc>
          <w:tcPr>
            <w:tcW w:type="dxa" w:w="22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数据处理模块</w:t>
            </w:r>
          </w:p>
        </w:tc>
        <w:tc>
          <w:tcPr>
            <w:tcW w:type="dxa" w:w="22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data_process.py</w:t>
            </w:r>
          </w:p>
        </w:tc>
        <w:tc>
          <w:tcPr>
            <w:tcW w:type="dxa" w:w="39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数据清洗、技术指标计算、标准化与标签生成</w:t>
            </w:r>
          </w:p>
        </w:tc>
      </w:tr>
      <w:tr>
        <w:tc>
          <w:tcPr>
            <w:tcW w:type="dxa" w:w="22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模型定义模块</w:t>
            </w:r>
          </w:p>
        </w:tc>
        <w:tc>
          <w:tcPr>
            <w:tcW w:type="dxa" w:w="22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model.py</w:t>
            </w:r>
          </w:p>
        </w:tc>
        <w:tc>
          <w:tcPr>
            <w:tcW w:type="dxa" w:w="39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定义CNN-LSTM-Attention网络结构</w:t>
            </w:r>
          </w:p>
        </w:tc>
      </w:tr>
      <w:tr>
        <w:tc>
          <w:tcPr>
            <w:tcW w:type="dxa" w:w="22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模型训练模块</w:t>
            </w:r>
          </w:p>
        </w:tc>
        <w:tc>
          <w:tcPr>
            <w:tcW w:type="dxa" w:w="22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train.py</w:t>
            </w:r>
          </w:p>
        </w:tc>
        <w:tc>
          <w:tcPr>
            <w:tcW w:type="dxa" w:w="39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时间窗口构建、模型训练与评估</w:t>
            </w:r>
          </w:p>
        </w:tc>
      </w:tr>
      <w:tr>
        <w:tc>
          <w:tcPr>
            <w:tcW w:type="dxa" w:w="22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预测与界面模块</w:t>
            </w:r>
          </w:p>
        </w:tc>
        <w:tc>
          <w:tcPr>
            <w:tcW w:type="dxa" w:w="22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predict.py / app.py</w:t>
            </w:r>
          </w:p>
        </w:tc>
        <w:tc>
          <w:tcPr>
            <w:tcW w:type="dxa" w:w="39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实时风险预测推理与Streamlit交互界面</w:t>
            </w:r>
          </w:p>
        </w:tc>
      </w:tr>
    </w:tbl>
    <w:p>
      <w:pPr>
        <w:spacing w:line="480" w:lineRule="exact"/>
      </w:pPr>
      <w:r>
        <w:rPr>
          <w:rFonts w:ascii="宋体" w:cs="宋体" w:eastAsia="宋体" w:hAnsi="宋体"/>
          <w:sz w:val="24"/>
          <w:szCs w:val="24"/>
        </w:rPr>
        <w:t xml:space="preserve"/>
      </w:r>
    </w:p>
    <w:p>
      <w:pPr>
        <w:spacing w:line="480" w:lineRule="exact"/>
        <w:ind w:firstLine="480"/>
        <w:jc w:val="both"/>
      </w:pPr>
      <w:r>
        <w:rPr>
          <w:rFonts w:ascii="宋体" w:cs="宋体" w:eastAsia="宋体" w:hAnsi="宋体"/>
          <w:sz w:val="24"/>
          <w:szCs w:val="24"/>
        </w:rPr>
        <w:t xml:space="preserve">各模块之间的调用关系为：app.py调用predict.py进行风险推理；predict.py依赖model.py和data_process.py中的工具函数；train.py同样依赖model.py和data_process.py；data_process.py的原始输入来自data_download.py下载的CSV文件。这种单向依赖关系确保了模块间的低耦合性。</w:t>
      </w:r>
    </w:p>
    <w:p>
      <w:r>
        <w:br w:type="page"/>
      </w:r>
    </w:p>
    <w:p>
      <w:pPr>
        <w:pStyle w:val="Heading1"/>
        <w:spacing w:after="240" w:before="360" w:line="600" w:lineRule="auto"/>
        <w:jc w:val="left"/>
      </w:pPr>
      <w:r>
        <w:rPr>
          <w:rFonts w:ascii="黑体" w:cs="黑体" w:eastAsia="黑体" w:hAnsi="黑体"/>
          <w:b/>
          <w:bCs/>
          <w:sz w:val="30"/>
          <w:szCs w:val="30"/>
        </w:rPr>
        <w:t xml:space="preserve">第四章  模型设计与特征工程</w:t>
      </w:r>
    </w:p>
    <w:p>
      <w:pPr>
        <w:pStyle w:val="Heading2"/>
        <w:spacing w:after="180" w:before="240" w:line="560" w:lineRule="auto"/>
        <w:jc w:val="left"/>
      </w:pPr>
      <w:r>
        <w:rPr>
          <w:rFonts w:ascii="黑体" w:cs="黑体" w:eastAsia="黑体" w:hAnsi="黑体"/>
          <w:b/>
          <w:bCs/>
          <w:sz w:val="28"/>
          <w:szCs w:val="28"/>
        </w:rPr>
        <w:t xml:space="preserve">4.1  特征工程</w:t>
      </w:r>
    </w:p>
    <w:p>
      <w:pPr>
        <w:spacing w:line="480" w:lineRule="exact"/>
        <w:ind w:firstLine="480"/>
        <w:jc w:val="both"/>
      </w:pPr>
      <w:r>
        <w:rPr>
          <w:rFonts w:ascii="宋体" w:cs="宋体" w:eastAsia="宋体" w:hAnsi="宋体"/>
          <w:sz w:val="24"/>
          <w:szCs w:val="24"/>
        </w:rPr>
        <w:t xml:space="preserve">金融时间序列的特征质量直接决定模型的上限。本系统选取了7项特征构成每个时间步的输入向量，覆盖价格、趋势、波动率三个维度，具体说明如下。</w:t>
      </w:r>
    </w:p>
    <w:p>
      <w:pPr>
        <w:spacing w:line="480" w:lineRule="exact"/>
        <w:ind w:firstLine="480"/>
        <w:jc w:val="both"/>
      </w:pPr>
      <w:r>
        <w:rPr>
          <w:rFonts w:ascii="宋体" w:cs="宋体" w:eastAsia="宋体" w:hAnsi="宋体"/>
          <w:sz w:val="24"/>
          <w:szCs w:val="24"/>
        </w:rPr>
        <w:t xml:space="preserve">价格特征包括当日开盘价（open）、收盘价（close）、最高价（high）、最低价（low）四项基础行情数据。这四项数据反映了当日价格区间与市场供需博弈结果，是K线图的基本构成要素。</w:t>
      </w:r>
    </w:p>
    <w:p>
      <w:pPr>
        <w:spacing w:line="480" w:lineRule="exact"/>
        <w:ind w:firstLine="480"/>
        <w:jc w:val="both"/>
      </w:pPr>
      <w:r>
        <w:rPr>
          <w:rFonts w:ascii="宋体" w:cs="宋体" w:eastAsia="宋体" w:hAnsi="宋体"/>
          <w:sz w:val="24"/>
          <w:szCs w:val="24"/>
        </w:rPr>
        <w:t xml:space="preserve">趋势特征包括5日移动平均线（MA5）和20日移动平均线（MA20）。MA5反映短期价格趋势，MA20反映中期趋势。当短期均线下穿长期均线（"死叉"）时往往预示调整风险；两条均线同时向下时，下跌动能通常较强。</w:t>
      </w:r>
    </w:p>
    <w:p>
      <w:pPr>
        <w:spacing w:line="480" w:lineRule="exact"/>
        <w:ind w:firstLine="480"/>
        <w:jc w:val="both"/>
      </w:pPr>
      <w:r>
        <w:rPr>
          <w:rFonts w:ascii="宋体" w:cs="宋体" w:eastAsia="宋体" w:hAnsi="宋体"/>
          <w:sz w:val="24"/>
          <w:szCs w:val="24"/>
        </w:rPr>
        <w:t xml:space="preserve">波动率特征为20日收盘价标准差（volatility），衡量价格序列的离散程度。波动率骤升通常与市场恐慌、重大事件冲击相关，是风险预警的敏感信号。当波动率超过历史均值的1.5倍时，次日大跌的概率会显著上升。</w:t>
      </w:r>
    </w:p>
    <w:p>
      <w:pPr>
        <w:spacing w:line="480" w:lineRule="exact"/>
        <w:ind w:firstLine="480"/>
        <w:jc w:val="both"/>
      </w:pPr>
      <w:r>
        <w:rPr>
          <w:rFonts w:ascii="宋体" w:cs="宋体" w:eastAsia="宋体" w:hAnsi="宋体"/>
          <w:sz w:val="24"/>
          <w:szCs w:val="24"/>
        </w:rPr>
        <w:t xml:space="preserve">为消除不同特征之间的量纲差异，所有特征在输入模型前均采用MinMaxScaler进行归一化，将数值映射到[0, 1]区间。标准化器在训练阶段拟合，保存为pkl文件，在推理阶段直接加载使用，确保训练与预测的数据分布一致。</w:t>
      </w:r>
    </w:p>
    <w:p>
      <w:pPr>
        <w:spacing w:line="480" w:lineRule="exact"/>
      </w:pPr>
      <w:r>
        <w:rPr>
          <w:rFonts w:ascii="宋体" w:cs="宋体" w:eastAsia="宋体" w:hAnsi="宋体"/>
          <w:sz w:val="24"/>
          <w:szCs w:val="24"/>
        </w:rPr>
        <w:t xml:space="preserve"/>
      </w:r>
    </w:p>
    <w:p>
      <w:pPr>
        <w:spacing w:after="60" w:before="120"/>
        <w:jc w:val="center"/>
      </w:pPr>
      <w:r>
        <w:drawing>
          <wp:inline distT="0" distB="0" distL="0" distR="0">
            <wp:extent cx="3562350" cy="3152775"/>
            <wp:effectExtent t="0" r="0" b="0" l="0"/>
            <wp:docPr id="1" name="fig_heatmap.png" descr="fig_heatmap.png" title="fig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62350" cy="3152775"/>
                    </a:xfrm>
                    <a:prstGeom prst="rect">
                      <a:avLst/>
                    </a:prstGeom>
                  </pic:spPr>
                </pic:pic>
              </a:graphicData>
            </a:graphic>
          </wp:inline>
        </w:drawing>
      </w:r>
    </w:p>
    <w:p>
      <w:pPr>
        <w:spacing w:after="120" w:before="60" w:line="420" w:lineRule="exact"/>
        <w:jc w:val="center"/>
      </w:pPr>
      <w:r>
        <w:rPr>
          <w:rFonts w:ascii="宋体" w:cs="宋体" w:eastAsia="宋体" w:hAnsi="宋体"/>
          <w:b w:val="false"/>
          <w:bCs w:val="false"/>
          <w:sz w:val="21"/>
          <w:szCs w:val="21"/>
        </w:rPr>
        <w:t xml:space="preserve">图4-1  技术指标特征相关性热力图</w:t>
      </w:r>
    </w:p>
    <w:p>
      <w:pPr>
        <w:spacing w:line="480" w:lineRule="exact"/>
      </w:pPr>
      <w:r>
        <w:rPr>
          <w:rFonts w:ascii="宋体" w:cs="宋体" w:eastAsia="宋体" w:hAnsi="宋体"/>
          <w:sz w:val="24"/>
          <w:szCs w:val="24"/>
        </w:rPr>
        <w:t xml:space="preserve"/>
      </w:r>
    </w:p>
    <w:p>
      <w:pPr>
        <w:spacing w:line="480" w:lineRule="exact"/>
        <w:ind w:firstLine="480"/>
        <w:jc w:val="both"/>
      </w:pPr>
      <w:r>
        <w:rPr>
          <w:rFonts w:ascii="宋体" w:cs="宋体" w:eastAsia="宋体" w:hAnsi="宋体"/>
          <w:sz w:val="24"/>
          <w:szCs w:val="24"/>
        </w:rPr>
        <w:t xml:space="preserve">图4-1展示了扩展版本中14项主要技术指标的皮尔逊相关系数热力图。可以看出，收盘价与MA5、MA20高度相关（0.92~0.95），MACD_DIFF与MACD_DEA相关性达0.81，说明部分指标存在信息冗余。本系统的7维特征设计正是在保留必要信息的前提下，有效降低了特征间多重共线性，提高了模型的训练效率与泛化能力。</w:t>
      </w:r>
    </w:p>
    <w:p>
      <w:pPr>
        <w:pStyle w:val="Heading2"/>
        <w:spacing w:after="180" w:before="240" w:line="560" w:lineRule="auto"/>
        <w:jc w:val="left"/>
      </w:pPr>
      <w:r>
        <w:rPr>
          <w:rFonts w:ascii="黑体" w:cs="黑体" w:eastAsia="黑体" w:hAnsi="黑体"/>
          <w:b/>
          <w:bCs/>
          <w:sz w:val="28"/>
          <w:szCs w:val="28"/>
        </w:rPr>
        <w:t xml:space="preserve">4.2  CNN-LSTM-Attention模型设计</w:t>
      </w:r>
    </w:p>
    <w:p>
      <w:pPr>
        <w:spacing w:line="480" w:lineRule="exact"/>
        <w:ind w:firstLine="480"/>
        <w:jc w:val="both"/>
      </w:pPr>
      <w:r>
        <w:rPr>
          <w:rFonts w:ascii="宋体" w:cs="宋体" w:eastAsia="宋体" w:hAnsi="宋体"/>
          <w:sz w:val="24"/>
          <w:szCs w:val="24"/>
        </w:rPr>
        <w:t xml:space="preserve">本系统提出的CNN-LSTM-Attention混合模型由四个部分依次堆叠：输入层、CNN特征提取层、LSTM时序建模层、Attention加权层与全连接分类层（见图4-2）。模型接收形状为（30, 7）的时间窗口作为输入，输出值域为[0,1]的风险概率。</w:t>
      </w:r>
    </w:p>
    <w:p>
      <w:pPr>
        <w:spacing w:line="480" w:lineRule="exact"/>
      </w:pPr>
      <w:r>
        <w:rPr>
          <w:rFonts w:ascii="宋体" w:cs="宋体" w:eastAsia="宋体" w:hAnsi="宋体"/>
          <w:sz w:val="24"/>
          <w:szCs w:val="24"/>
        </w:rPr>
        <w:t xml:space="preserve"/>
      </w:r>
    </w:p>
    <w:p>
      <w:pPr>
        <w:spacing w:after="60" w:before="120"/>
        <w:jc w:val="center"/>
      </w:pPr>
      <w:r>
        <w:drawing>
          <wp:inline distT="0" distB="0" distL="0" distR="0">
            <wp:extent cx="3562350" cy="2609850"/>
            <wp:effectExtent t="0" r="0" b="0" l="0"/>
            <wp:docPr id="1" name="fig_model.png" descr="fig_model.png" title="fig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62350" cy="2609850"/>
                    </a:xfrm>
                    <a:prstGeom prst="rect">
                      <a:avLst/>
                    </a:prstGeom>
                  </pic:spPr>
                </pic:pic>
              </a:graphicData>
            </a:graphic>
          </wp:inline>
        </w:drawing>
      </w:r>
    </w:p>
    <w:p>
      <w:pPr>
        <w:spacing w:after="120" w:before="60" w:line="420" w:lineRule="exact"/>
        <w:jc w:val="center"/>
      </w:pPr>
      <w:r>
        <w:rPr>
          <w:rFonts w:ascii="宋体" w:cs="宋体" w:eastAsia="宋体" w:hAnsi="宋体"/>
          <w:b w:val="false"/>
          <w:bCs w:val="false"/>
          <w:sz w:val="21"/>
          <w:szCs w:val="21"/>
        </w:rPr>
        <w:t xml:space="preserve">图4-2  CNN-LSTM-Attention混合模型架构图</w:t>
      </w:r>
    </w:p>
    <w:p>
      <w:pPr>
        <w:spacing w:line="480" w:lineRule="exact"/>
      </w:pPr>
      <w:r>
        <w:rPr>
          <w:rFonts w:ascii="宋体" w:cs="宋体" w:eastAsia="宋体" w:hAnsi="宋体"/>
          <w:sz w:val="24"/>
          <w:szCs w:val="24"/>
        </w:rPr>
        <w:t xml:space="preserve"/>
      </w:r>
    </w:p>
    <w:p>
      <w:pPr>
        <w:pStyle w:val="Heading3"/>
        <w:spacing w:after="120" w:before="200" w:line="480" w:lineRule="exact"/>
        <w:jc w:val="left"/>
      </w:pPr>
      <w:r>
        <w:rPr>
          <w:rFonts w:ascii="宋体" w:cs="宋体" w:eastAsia="宋体" w:hAnsi="宋体"/>
          <w:b/>
          <w:bCs/>
          <w:sz w:val="24"/>
          <w:szCs w:val="24"/>
        </w:rPr>
        <w:t xml:space="preserve">4.2.1  CNN特征提取层</w:t>
      </w:r>
    </w:p>
    <w:p>
      <w:pPr>
        <w:spacing w:line="480" w:lineRule="exact"/>
        <w:ind w:firstLine="480"/>
        <w:jc w:val="both"/>
      </w:pPr>
      <w:r>
        <w:rPr>
          <w:rFonts w:ascii="宋体" w:cs="宋体" w:eastAsia="宋体" w:hAnsi="宋体"/>
          <w:sz w:val="24"/>
          <w:szCs w:val="24"/>
        </w:rPr>
        <w:t xml:space="preserve">CNN层由两个Conv1D-MaxPooling子块串联构成。第一个子块使用64个卷积核、核尺寸为3，以ReLU激活，再经MaxPooling(pool_size=2)压缩时间维度；第二个子块使用128个卷积核，结构相同。第一层卷积提取原始价格序列中的基础波动模式（如单日涨跌形态），第二层在更高抽象层次上捕捉复合模式（如多日连续走势形态）。MaxPooling的下采样操作在降低后续LSTM计算量的同时，也赋予了特征一定程度的时间平移不变性。</w:t>
      </w:r>
    </w:p>
    <w:p>
      <w:pPr>
        <w:pStyle w:val="Heading3"/>
        <w:spacing w:after="120" w:before="200" w:line="480" w:lineRule="exact"/>
        <w:jc w:val="left"/>
      </w:pPr>
      <w:r>
        <w:rPr>
          <w:rFonts w:ascii="宋体" w:cs="宋体" w:eastAsia="宋体" w:hAnsi="宋体"/>
          <w:b/>
          <w:bCs/>
          <w:sz w:val="24"/>
          <w:szCs w:val="24"/>
        </w:rPr>
        <w:t xml:space="preserve">4.2.2  LSTM时序建模层</w:t>
      </w:r>
    </w:p>
    <w:p>
      <w:pPr>
        <w:spacing w:line="480" w:lineRule="exact"/>
        <w:ind w:firstLine="480"/>
        <w:jc w:val="both"/>
      </w:pPr>
      <w:r>
        <w:rPr>
          <w:rFonts w:ascii="宋体" w:cs="宋体" w:eastAsia="宋体" w:hAnsi="宋体"/>
          <w:sz w:val="24"/>
          <w:szCs w:val="24"/>
        </w:rPr>
        <w:t xml:space="preserve">CNN输出的特征序列经过两层堆叠LSTM进行时序建模。第一层LSTM含128个隐藏单元，设置return_sequences=True以输出完整序列；第二层LSTM含64个隐藏单元，同样设置return_sequences=True，为后续Attention层提供全序列输入。双层LSTM的设计使得模型能够在两个时间尺度上分别捕捉短期与中期依赖关系：第一层关注近几日的局部动态，第二层在更抽象的特征空间上整合更长周期的规律。</w:t>
      </w:r>
    </w:p>
    <w:p>
      <w:pPr>
        <w:pStyle w:val="Heading3"/>
        <w:spacing w:after="120" w:before="200" w:line="480" w:lineRule="exact"/>
        <w:jc w:val="left"/>
      </w:pPr>
      <w:r>
        <w:rPr>
          <w:rFonts w:ascii="宋体" w:cs="宋体" w:eastAsia="宋体" w:hAnsi="宋体"/>
          <w:b/>
          <w:bCs/>
          <w:sz w:val="24"/>
          <w:szCs w:val="24"/>
        </w:rPr>
        <w:t xml:space="preserve">4.2.3  Attention加权层</w:t>
      </w:r>
    </w:p>
    <w:p>
      <w:pPr>
        <w:spacing w:line="480" w:lineRule="exact"/>
        <w:ind w:firstLine="480"/>
        <w:jc w:val="both"/>
      </w:pPr>
      <w:r>
        <w:rPr>
          <w:rFonts w:ascii="宋体" w:cs="宋体" w:eastAsia="宋体" w:hAnsi="宋体"/>
          <w:sz w:val="24"/>
          <w:szCs w:val="24"/>
        </w:rPr>
        <w:t xml:space="preserve">Attention层接收第二层LSTM的输出序列（形状为 [batch, timestep, 64]），计算自注意力（Self-Attention）权重，将不同时间步的重要程度编码为概率分布，并以此对序列加权求和，生成固定维度的上下文表示。该操作使模型在做出预测时能够动态聚焦于历史窗口中风险信号最强的时间步，而非简单地使用末位时间步的隐藏状态。</w:t>
      </w:r>
    </w:p>
    <w:p>
      <w:pPr>
        <w:pStyle w:val="Heading3"/>
        <w:spacing w:after="120" w:before="200" w:line="480" w:lineRule="exact"/>
        <w:jc w:val="left"/>
      </w:pPr>
      <w:r>
        <w:rPr>
          <w:rFonts w:ascii="宋体" w:cs="宋体" w:eastAsia="宋体" w:hAnsi="宋体"/>
          <w:b/>
          <w:bCs/>
          <w:sz w:val="24"/>
          <w:szCs w:val="24"/>
        </w:rPr>
        <w:t xml:space="preserve">4.2.4  分类输出层</w:t>
      </w:r>
    </w:p>
    <w:p>
      <w:pPr>
        <w:spacing w:line="480" w:lineRule="exact"/>
        <w:ind w:firstLine="480"/>
        <w:jc w:val="both"/>
      </w:pPr>
      <w:r>
        <w:rPr>
          <w:rFonts w:ascii="宋体" w:cs="宋体" w:eastAsia="宋体" w:hAnsi="宋体"/>
          <w:sz w:val="24"/>
          <w:szCs w:val="24"/>
        </w:rPr>
        <w:t xml:space="preserve">Attention输出经Flatten展平后，接入含64个神经元的全连接层（ReLU激活）和Dropout(0.5)正则化层，再接含32个神经元的全连接层，最终由Sigmoid激活的单神经元输出层输出风险概率 p∈[0,1]。以0.5为决策阈值：p&gt;0.5 判定为"存在大跌风险"，否则判定为"安全"。模型总参数量约为280万，在普通CPU上单次推理耗时约0.3秒。</w:t>
      </w:r>
    </w:p>
    <w:p>
      <w:pPr>
        <w:pStyle w:val="Heading2"/>
        <w:spacing w:after="180" w:before="240" w:line="560" w:lineRule="auto"/>
        <w:jc w:val="left"/>
      </w:pPr>
      <w:r>
        <w:rPr>
          <w:rFonts w:ascii="黑体" w:cs="黑体" w:eastAsia="黑体" w:hAnsi="黑体"/>
          <w:b/>
          <w:bCs/>
          <w:sz w:val="28"/>
          <w:szCs w:val="28"/>
        </w:rPr>
        <w:t xml:space="preserve">4.3  模型训练策略</w:t>
      </w:r>
    </w:p>
    <w:p>
      <w:pPr>
        <w:spacing w:line="480" w:lineRule="exact"/>
        <w:ind w:firstLine="480"/>
        <w:jc w:val="both"/>
      </w:pPr>
      <w:r>
        <w:rPr>
          <w:rFonts w:ascii="宋体" w:cs="宋体" w:eastAsia="宋体" w:hAnsi="宋体"/>
          <w:sz w:val="24"/>
          <w:szCs w:val="24"/>
        </w:rPr>
        <w:t xml:space="preserve">风险预测任务面临较严重的类别不平衡问题。以沪深300指数为例，2005年至2024年共约4800个交易日中，跌幅超过1.5%的风险事件约占18%（如图5-1所示），正常样本约占82%。若不加处理，模型会倾向于将所有样本预测为"安全"，从而获得较高的整体准确率，但对风险事件的召回率几乎为零，失去实用价值。</w:t>
      </w:r>
    </w:p>
    <w:p>
      <w:pPr>
        <w:spacing w:line="480" w:lineRule="exact"/>
        <w:ind w:firstLine="480"/>
        <w:jc w:val="both"/>
      </w:pPr>
      <w:r>
        <w:rPr>
          <w:rFonts w:ascii="宋体" w:cs="宋体" w:eastAsia="宋体" w:hAnsi="宋体"/>
          <w:sz w:val="24"/>
          <w:szCs w:val="24"/>
        </w:rPr>
        <w:t xml:space="preserve">为此，本系统采用以下训练策略：</w:t>
      </w:r>
    </w:p>
    <w:p>
      <w:pPr>
        <w:spacing w:line="480" w:lineRule="exact"/>
        <w:ind w:firstLine="480"/>
        <w:jc w:val="both"/>
      </w:pPr>
      <w:r>
        <w:rPr>
          <w:rFonts w:ascii="宋体" w:cs="宋体" w:eastAsia="宋体" w:hAnsi="宋体"/>
          <w:sz w:val="24"/>
          <w:szCs w:val="24"/>
        </w:rPr>
        <w:t xml:space="preserve">一是动态类别权重。训练时为每个样本赋予与类别频率成反比的权重，风险样本的权重约为正常样本的4.5倍（weight = N_total / N_risk），迫使模型对少数类样本给予更多关注。</w:t>
      </w:r>
    </w:p>
    <w:p>
      <w:pPr>
        <w:spacing w:line="480" w:lineRule="exact"/>
        <w:ind w:firstLine="480"/>
        <w:jc w:val="both"/>
      </w:pPr>
      <w:r>
        <w:rPr>
          <w:rFonts w:ascii="宋体" w:cs="宋体" w:eastAsia="宋体" w:hAnsi="宋体"/>
          <w:sz w:val="24"/>
          <w:szCs w:val="24"/>
        </w:rPr>
        <w:t xml:space="preserve">二是早停机制（Early Stopping）。监控验证集损失，若连续10个epoch不再下降则终止训练，并自动恢复最优权重，防止过拟合。结合模型检查点（ModelCheckpoint），每轮自动保存验证集准确率最高的模型，确保最终使用性能最优的参数组合。</w:t>
      </w:r>
    </w:p>
    <w:p>
      <w:pPr>
        <w:spacing w:line="480" w:lineRule="exact"/>
        <w:ind w:firstLine="480"/>
        <w:jc w:val="both"/>
      </w:pPr>
      <w:r>
        <w:rPr>
          <w:rFonts w:ascii="宋体" w:cs="宋体" w:eastAsia="宋体" w:hAnsi="宋体"/>
          <w:sz w:val="24"/>
          <w:szCs w:val="24"/>
        </w:rPr>
        <w:t xml:space="preserve">三是Dropout正则化。在全连接层设置50%的随机丢弃率，以减少神经元间的共适应关系，提高模型在未见样本上的泛化能力。</w:t>
      </w:r>
    </w:p>
    <w:p>
      <w:pPr>
        <w:spacing w:line="480" w:lineRule="exact"/>
        <w:ind w:firstLine="480"/>
        <w:jc w:val="both"/>
      </w:pPr>
      <w:r>
        <w:rPr>
          <w:rFonts w:ascii="宋体" w:cs="宋体" w:eastAsia="宋体" w:hAnsi="宋体"/>
          <w:sz w:val="24"/>
          <w:szCs w:val="24"/>
        </w:rPr>
        <w:t xml:space="preserve">四是数据集划分。将全部样本按时间顺序（而非随机打乱）划分为训练集（80%）和测试集（20%），从训练集中再划出10%作为验证集。这种时序划分方式避免了未来数据泄露，使评估结果更接近真实部署场景下的预测性能。</w:t>
      </w:r>
    </w:p>
    <w:p>
      <w:r>
        <w:br w:type="page"/>
      </w:r>
    </w:p>
    <w:p>
      <w:pPr>
        <w:pStyle w:val="Heading1"/>
        <w:spacing w:after="240" w:before="360" w:line="600" w:lineRule="auto"/>
        <w:jc w:val="left"/>
      </w:pPr>
      <w:r>
        <w:rPr>
          <w:rFonts w:ascii="黑体" w:cs="黑体" w:eastAsia="黑体" w:hAnsi="黑体"/>
          <w:b/>
          <w:bCs/>
          <w:sz w:val="30"/>
          <w:szCs w:val="30"/>
        </w:rPr>
        <w:t xml:space="preserve">第五章  系统实现</w:t>
      </w:r>
    </w:p>
    <w:p>
      <w:pPr>
        <w:pStyle w:val="Heading2"/>
        <w:spacing w:after="180" w:before="240" w:line="560" w:lineRule="auto"/>
        <w:jc w:val="left"/>
      </w:pPr>
      <w:r>
        <w:rPr>
          <w:rFonts w:ascii="黑体" w:cs="黑体" w:eastAsia="黑体" w:hAnsi="黑体"/>
          <w:b/>
          <w:bCs/>
          <w:sz w:val="28"/>
          <w:szCs w:val="28"/>
        </w:rPr>
        <w:t xml:space="preserve">5.1  数据采集与处理</w:t>
      </w:r>
    </w:p>
    <w:p>
      <w:pPr>
        <w:spacing w:line="480" w:lineRule="exact"/>
        <w:ind w:firstLine="480"/>
        <w:jc w:val="both"/>
      </w:pPr>
      <w:r>
        <w:rPr>
          <w:rFonts w:ascii="宋体" w:cs="宋体" w:eastAsia="宋体" w:hAnsi="宋体"/>
          <w:sz w:val="24"/>
          <w:szCs w:val="24"/>
        </w:rPr>
        <w:t xml:space="preserve">数据采集模块（data_download.py）通过akshare库的 stock_zh_index_daily() 接口获取股票日K线数据，通过 spot_golden_benchmark_sge() 获取上海黄金交易所AU9999基准价格。全部历史数据覆盖2005年至今，下载后以CSV格式保存至data目录。</w:t>
      </w:r>
    </w:p>
    <w:p>
      <w:pPr>
        <w:spacing w:line="480" w:lineRule="exact"/>
        <w:ind w:firstLine="480"/>
        <w:jc w:val="both"/>
      </w:pPr>
      <w:r>
        <w:rPr>
          <w:rFonts w:ascii="宋体" w:cs="宋体" w:eastAsia="宋体" w:hAnsi="宋体"/>
          <w:sz w:val="24"/>
          <w:szCs w:val="24"/>
        </w:rPr>
        <w:t xml:space="preserve">数据处理模块（data_process.py）执行以下步骤（见图5-2）：首先对原始数据进行清洗，采用前向填充（forward-fill）处理缺失值，并通过IQR方法检测异常值；随后计算MA5、MA20和20日波动率三项技术指标；接着构建风险标签，将次日收益率 r = (P_{t+1}-P_t)/P_t &lt; -1.5% 定义为风险事件（label=1）；最后进行MinMax标准化并保存标准化器。</w:t>
      </w:r>
    </w:p>
    <w:p>
      <w:pPr>
        <w:spacing w:line="480" w:lineRule="exact"/>
      </w:pPr>
      <w:r>
        <w:rPr>
          <w:rFonts w:ascii="宋体" w:cs="宋体" w:eastAsia="宋体" w:hAnsi="宋体"/>
          <w:sz w:val="24"/>
          <w:szCs w:val="24"/>
        </w:rPr>
        <w:t xml:space="preserve"/>
      </w:r>
    </w:p>
    <w:p>
      <w:pPr>
        <w:spacing w:after="60" w:before="120"/>
        <w:jc w:val="center"/>
      </w:pPr>
      <w:r>
        <w:drawing>
          <wp:inline distT="0" distB="0" distL="0" distR="0">
            <wp:extent cx="3771900" cy="1714500"/>
            <wp:effectExtent t="0" r="0" b="0" l="0"/>
            <wp:docPr id="1" name="fig_dist.png" descr="fig_dist.png" title="fig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71900" cy="1714500"/>
                    </a:xfrm>
                    <a:prstGeom prst="rect">
                      <a:avLst/>
                    </a:prstGeom>
                  </pic:spPr>
                </pic:pic>
              </a:graphicData>
            </a:graphic>
          </wp:inline>
        </w:drawing>
      </w:r>
    </w:p>
    <w:p>
      <w:pPr>
        <w:spacing w:after="120" w:before="60" w:line="420" w:lineRule="exact"/>
        <w:jc w:val="center"/>
      </w:pPr>
      <w:r>
        <w:rPr>
          <w:rFonts w:ascii="宋体" w:cs="宋体" w:eastAsia="宋体" w:hAnsi="宋体"/>
          <w:b w:val="false"/>
          <w:bCs w:val="false"/>
          <w:sz w:val="21"/>
          <w:szCs w:val="21"/>
        </w:rPr>
        <w:t xml:space="preserve">图5-1  数据集样本分布（类别不平衡可视化）</w:t>
      </w:r>
    </w:p>
    <w:p>
      <w:pPr>
        <w:spacing w:line="480" w:lineRule="exact"/>
      </w:pPr>
      <w:r>
        <w:rPr>
          <w:rFonts w:ascii="宋体" w:cs="宋体" w:eastAsia="宋体" w:hAnsi="宋体"/>
          <w:sz w:val="24"/>
          <w:szCs w:val="24"/>
        </w:rPr>
        <w:t xml:space="preserve"/>
      </w:r>
    </w:p>
    <w:p>
      <w:pPr>
        <w:spacing w:after="60" w:before="120"/>
        <w:jc w:val="center"/>
      </w:pPr>
      <w:r>
        <w:drawing>
          <wp:inline distT="0" distB="0" distL="0" distR="0">
            <wp:extent cx="2743200" cy="3981450"/>
            <wp:effectExtent t="0" r="0" b="0" l="0"/>
            <wp:docPr id="1"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43200" cy="3981450"/>
                    </a:xfrm>
                    <a:prstGeom prst="rect">
                      <a:avLst/>
                    </a:prstGeom>
                  </pic:spPr>
                </pic:pic>
              </a:graphicData>
            </a:graphic>
          </wp:inline>
        </w:drawing>
      </w:r>
    </w:p>
    <w:p>
      <w:pPr>
        <w:spacing w:after="120" w:before="60" w:line="420" w:lineRule="exact"/>
        <w:jc w:val="center"/>
      </w:pPr>
      <w:r>
        <w:rPr>
          <w:rFonts w:ascii="宋体" w:cs="宋体" w:eastAsia="宋体" w:hAnsi="宋体"/>
          <w:b w:val="false"/>
          <w:bCs w:val="false"/>
          <w:sz w:val="21"/>
          <w:szCs w:val="21"/>
        </w:rPr>
        <w:t xml:space="preserve">图5-2  数据处理流程图</w:t>
      </w:r>
    </w:p>
    <w:p>
      <w:pPr>
        <w:spacing w:line="480" w:lineRule="exact"/>
      </w:pPr>
      <w:r>
        <w:rPr>
          <w:rFonts w:ascii="宋体" w:cs="宋体" w:eastAsia="宋体" w:hAnsi="宋体"/>
          <w:sz w:val="24"/>
          <w:szCs w:val="24"/>
        </w:rPr>
        <w:t xml:space="preserve"/>
      </w:r>
    </w:p>
    <w:p>
      <w:pPr>
        <w:spacing w:line="480" w:lineRule="exact"/>
        <w:ind w:firstLine="480"/>
        <w:jc w:val="both"/>
      </w:pPr>
      <w:r>
        <w:rPr>
          <w:rFonts w:ascii="宋体" w:cs="宋体" w:eastAsia="宋体" w:hAnsi="宋体"/>
          <w:sz w:val="24"/>
          <w:szCs w:val="24"/>
        </w:rPr>
        <w:t xml:space="preserve">数据处理完成后，共得到约8000条有效样本（含标签），其中训练集约6400条、测试集约1600条。图5-1清晰展示了样本的类别分布：正常样本（蓝色）占82%，风险样本（橙色）占18%，类别比约为4.6:1。</w:t>
      </w:r>
    </w:p>
    <w:p>
      <w:pPr>
        <w:pStyle w:val="Heading2"/>
        <w:spacing w:after="180" w:before="240" w:line="560" w:lineRule="auto"/>
        <w:jc w:val="left"/>
      </w:pPr>
      <w:r>
        <w:rPr>
          <w:rFonts w:ascii="黑体" w:cs="黑体" w:eastAsia="黑体" w:hAnsi="黑体"/>
          <w:b/>
          <w:bCs/>
          <w:sz w:val="28"/>
          <w:szCs w:val="28"/>
        </w:rPr>
        <w:t xml:space="preserve">5.2  模型训练与评估</w:t>
      </w:r>
    </w:p>
    <w:p>
      <w:pPr>
        <w:spacing w:line="480" w:lineRule="exact"/>
        <w:ind w:firstLine="480"/>
        <w:jc w:val="both"/>
      </w:pPr>
      <w:r>
        <w:rPr>
          <w:rFonts w:ascii="宋体" w:cs="宋体" w:eastAsia="宋体" w:hAnsi="宋体"/>
          <w:sz w:val="24"/>
          <w:szCs w:val="24"/>
        </w:rPr>
        <w:t xml:space="preserve">模型训练模块（train.py）的完整流程为：读取处理后的CSV文件，按30日窗口步长为1进行滑动切片，构建输入张量（形状 [N, 30, 7]）和标签向量；随后调用model.py中的 create_model() 函数构建网络，以Adam优化器和二元交叉熵损失函数编译；携带类别权重、早停回调与检查点回调开始训练（最大100轮），训练完成后在测试集上评估并输出完整的分类报告。核心训练代码如下：</w:t>
      </w:r>
    </w:p>
    <w:p>
      <w:pPr>
        <w:spacing w:line="480" w:lineRule="exact"/>
      </w:pPr>
      <w:r>
        <w:rPr>
          <w:rFonts w:ascii="宋体" w:cs="宋体" w:eastAsia="宋体" w:hAnsi="宋体"/>
          <w:sz w:val="24"/>
          <w:szCs w:val="24"/>
        </w:rPr>
        <w:t xml:space="preserve"/>
      </w:r>
    </w:p>
    <w:p>
      <w:pPr>
        <w:spacing w:line="300" w:lineRule="exact"/>
        <w:ind w:left="360"/>
      </w:pPr>
      <w:r>
        <w:rPr>
          <w:rFonts w:ascii="Courier New" w:cs="Courier New" w:eastAsia="Courier New" w:hAnsi="Courier New"/>
          <w:sz w:val="18"/>
          <w:szCs w:val="18"/>
        </w:rPr>
        <w:t xml:space="preserve">early_stopping = EarlyStopping(monitor="val_loss", patience=10,</w:t>
      </w:r>
    </w:p>
    <w:p>
      <w:pPr>
        <w:spacing w:line="300" w:lineRule="exact"/>
        <w:ind w:left="360"/>
      </w:pPr>
      <w:r>
        <w:rPr>
          <w:rFonts w:ascii="Courier New" w:cs="Courier New" w:eastAsia="Courier New" w:hAnsi="Courier New"/>
          <w:sz w:val="18"/>
          <w:szCs w:val="18"/>
        </w:rPr>
        <w:t xml:space="preserve">                               restore_best_weights=True)</w:t>
      </w:r>
    </w:p>
    <w:p>
      <w:pPr>
        <w:spacing w:line="300" w:lineRule="exact"/>
        <w:ind w:left="360"/>
      </w:pPr>
      <w:r>
        <w:rPr>
          <w:rFonts w:ascii="Courier New" w:cs="Courier New" w:eastAsia="Courier New" w:hAnsi="Courier New"/>
          <w:sz w:val="18"/>
          <w:szCs w:val="18"/>
        </w:rPr>
        <w:t xml:space="preserve">checkpoint = ModelCheckpoint("models/best_stock_model.h5",</w:t>
      </w:r>
    </w:p>
    <w:p>
      <w:pPr>
        <w:spacing w:line="300" w:lineRule="exact"/>
        <w:ind w:left="360"/>
      </w:pPr>
      <w:r>
        <w:rPr>
          <w:rFonts w:ascii="Courier New" w:cs="Courier New" w:eastAsia="Courier New" w:hAnsi="Courier New"/>
          <w:sz w:val="18"/>
          <w:szCs w:val="18"/>
        </w:rPr>
        <w:t xml:space="preserve">                             monitor="val_accuracy", save_best_only=True)</w:t>
      </w:r>
    </w:p>
    <w:p>
      <w:pPr>
        <w:spacing w:line="300" w:lineRule="exact"/>
        <w:ind w:left="360"/>
      </w:pPr>
      <w:r>
        <w:rPr>
          <w:rFonts w:ascii="Courier New" w:cs="Courier New" w:eastAsia="Courier New" w:hAnsi="Courier New"/>
          <w:sz w:val="18"/>
          <w:szCs w:val="18"/>
        </w:rPr>
        <w:t xml:space="preserve"/>
      </w:r>
    </w:p>
    <w:p>
      <w:pPr>
        <w:spacing w:line="300" w:lineRule="exact"/>
        <w:ind w:left="360"/>
      </w:pPr>
      <w:r>
        <w:rPr>
          <w:rFonts w:ascii="Courier New" w:cs="Courier New" w:eastAsia="Courier New" w:hAnsi="Courier New"/>
          <w:sz w:val="18"/>
          <w:szCs w:val="18"/>
        </w:rPr>
        <w:t xml:space="preserve">history = model.fit(</w:t>
      </w:r>
    </w:p>
    <w:p>
      <w:pPr>
        <w:spacing w:line="300" w:lineRule="exact"/>
        <w:ind w:left="360"/>
      </w:pPr>
      <w:r>
        <w:rPr>
          <w:rFonts w:ascii="Courier New" w:cs="Courier New" w:eastAsia="Courier New" w:hAnsi="Courier New"/>
          <w:sz w:val="18"/>
          <w:szCs w:val="18"/>
        </w:rPr>
        <w:t xml:space="preserve">    X_train, y_train,</w:t>
      </w:r>
    </w:p>
    <w:p>
      <w:pPr>
        <w:spacing w:line="300" w:lineRule="exact"/>
        <w:ind w:left="360"/>
      </w:pPr>
      <w:r>
        <w:rPr>
          <w:rFonts w:ascii="Courier New" w:cs="Courier New" w:eastAsia="Courier New" w:hAnsi="Courier New"/>
          <w:sz w:val="18"/>
          <w:szCs w:val="18"/>
        </w:rPr>
        <w:t xml:space="preserve">    epochs=100, batch_size=32,</w:t>
      </w:r>
    </w:p>
    <w:p>
      <w:pPr>
        <w:spacing w:line="300" w:lineRule="exact"/>
        <w:ind w:left="360"/>
      </w:pPr>
      <w:r>
        <w:rPr>
          <w:rFonts w:ascii="Courier New" w:cs="Courier New" w:eastAsia="Courier New" w:hAnsi="Courier New"/>
          <w:sz w:val="18"/>
          <w:szCs w:val="18"/>
        </w:rPr>
        <w:t xml:space="preserve">    validation_split=0.1,</w:t>
      </w:r>
    </w:p>
    <w:p>
      <w:pPr>
        <w:spacing w:line="300" w:lineRule="exact"/>
        <w:ind w:left="360"/>
      </w:pPr>
      <w:r>
        <w:rPr>
          <w:rFonts w:ascii="Courier New" w:cs="Courier New" w:eastAsia="Courier New" w:hAnsi="Courier New"/>
          <w:sz w:val="18"/>
          <w:szCs w:val="18"/>
        </w:rPr>
        <w:t xml:space="preserve">    class_weight=class_weights,</w:t>
      </w:r>
    </w:p>
    <w:p>
      <w:pPr>
        <w:spacing w:line="300" w:lineRule="exact"/>
        <w:ind w:left="360"/>
      </w:pPr>
      <w:r>
        <w:rPr>
          <w:rFonts w:ascii="Courier New" w:cs="Courier New" w:eastAsia="Courier New" w:hAnsi="Courier New"/>
          <w:sz w:val="18"/>
          <w:szCs w:val="18"/>
        </w:rPr>
        <w:t xml:space="preserve">    callbacks=[early_stopping, checkpoint]</w:t>
      </w:r>
    </w:p>
    <w:p>
      <w:pPr>
        <w:spacing w:line="300" w:lineRule="exact"/>
        <w:ind w:left="360"/>
      </w:pPr>
      <w:r>
        <w:rPr>
          <w:rFonts w:ascii="Courier New" w:cs="Courier New" w:eastAsia="Courier New" w:hAnsi="Courier New"/>
          <w:sz w:val="18"/>
          <w:szCs w:val="18"/>
        </w:rPr>
        <w:t xml:space="preserve">)</w:t>
      </w:r>
    </w:p>
    <w:p>
      <w:pPr>
        <w:spacing w:line="480" w:lineRule="exact"/>
      </w:pPr>
      <w:r>
        <w:rPr>
          <w:rFonts w:ascii="宋体" w:cs="宋体" w:eastAsia="宋体" w:hAnsi="宋体"/>
          <w:sz w:val="24"/>
          <w:szCs w:val="24"/>
        </w:rPr>
        <w:t xml:space="preserve"/>
      </w:r>
    </w:p>
    <w:p>
      <w:pPr>
        <w:pStyle w:val="Heading2"/>
        <w:spacing w:after="180" w:before="240" w:line="560" w:lineRule="auto"/>
        <w:jc w:val="left"/>
      </w:pPr>
      <w:r>
        <w:rPr>
          <w:rFonts w:ascii="黑体" w:cs="黑体" w:eastAsia="黑体" w:hAnsi="黑体"/>
          <w:b/>
          <w:bCs/>
          <w:sz w:val="28"/>
          <w:szCs w:val="28"/>
        </w:rPr>
        <w:t xml:space="preserve">5.3  预测模块实现</w:t>
      </w:r>
    </w:p>
    <w:p>
      <w:pPr>
        <w:spacing w:line="480" w:lineRule="exact"/>
        <w:ind w:firstLine="480"/>
        <w:jc w:val="both"/>
      </w:pPr>
      <w:r>
        <w:rPr>
          <w:rFonts w:ascii="宋体" w:cs="宋体" w:eastAsia="宋体" w:hAnsi="宋体"/>
          <w:sz w:val="24"/>
          <w:szCs w:val="24"/>
        </w:rPr>
        <w:t xml:space="preserve">预测模块（predict.py）是系统运行时的核心。在预测阶段，系统首先通过akshare下载最近90个交易日的行情数据，计算与训练阶段完全相同的7项特征，再使用保存的标准化器对最后30天数据进行归一化，reshape为（1, 30, 7）后输入模型，输出风险概率。</w:t>
      </w:r>
    </w:p>
    <w:p>
      <w:pPr>
        <w:spacing w:line="480" w:lineRule="exact"/>
        <w:ind w:firstLine="480"/>
        <w:jc w:val="both"/>
      </w:pPr>
      <w:r>
        <w:rPr>
          <w:rFonts w:ascii="宋体" w:cs="宋体" w:eastAsia="宋体" w:hAnsi="宋体"/>
          <w:sz w:val="24"/>
          <w:szCs w:val="24"/>
        </w:rPr>
        <w:t xml:space="preserve">在风险原因分析方面，系统根据最新一日的MA5、MA20位置关系与波动率水平，自动生成文字说明：若当前收盘价低于MA5且MA5低于MA20，则标注"均线系统向下排列，趋势偏弱"；若当前波动率超过历史均值的1.5倍，则标注"市场波动率异常升高，风险信号增强"。这种规则化的解释生成方式虽相对简单，但在实际使用中能够为用户提供直观的决策参考。</w:t>
      </w:r>
    </w:p>
    <w:p>
      <w:pPr>
        <w:pStyle w:val="Heading2"/>
        <w:spacing w:after="180" w:before="240" w:line="560" w:lineRule="auto"/>
        <w:jc w:val="left"/>
      </w:pPr>
      <w:r>
        <w:rPr>
          <w:rFonts w:ascii="黑体" w:cs="黑体" w:eastAsia="黑体" w:hAnsi="黑体"/>
          <w:b/>
          <w:bCs/>
          <w:sz w:val="28"/>
          <w:szCs w:val="28"/>
        </w:rPr>
        <w:t xml:space="preserve">5.4  可视化界面</w:t>
      </w:r>
    </w:p>
    <w:p>
      <w:pPr>
        <w:spacing w:line="480" w:lineRule="exact"/>
        <w:ind w:firstLine="480"/>
        <w:jc w:val="both"/>
      </w:pPr>
      <w:r>
        <w:rPr>
          <w:rFonts w:ascii="宋体" w:cs="宋体" w:eastAsia="宋体" w:hAnsi="宋体"/>
          <w:sz w:val="24"/>
          <w:szCs w:val="24"/>
        </w:rPr>
        <w:t xml:space="preserve">交互界面（app.py）基于Streamlit框架开发。用户通过侧边栏选择预测标的（沪深300/上证指数/深证成指/创业板指或黄金），点击"加载模型"按钮后系统自动加载对应的.h5模型文件和标准化器；点击"开始预测"按钮后，系统调用predict.py完成推理，以醒目的风险概率指标（st.metric）和彩色提示框展示预测结论；底部面板通过Plotly绘制最近60日的价格走势折线图，并叠加MA5和MA20均线，支持用户缩放与悬停查看具体数值。</w:t>
      </w:r>
    </w:p>
    <w:p>
      <w:r>
        <w:br w:type="page"/>
      </w:r>
    </w:p>
    <w:p>
      <w:pPr>
        <w:pStyle w:val="Heading1"/>
        <w:spacing w:after="240" w:before="360" w:line="600" w:lineRule="auto"/>
        <w:jc w:val="left"/>
      </w:pPr>
      <w:r>
        <w:rPr>
          <w:rFonts w:ascii="黑体" w:cs="黑体" w:eastAsia="黑体" w:hAnsi="黑体"/>
          <w:b/>
          <w:bCs/>
          <w:sz w:val="30"/>
          <w:szCs w:val="30"/>
        </w:rPr>
        <w:t xml:space="preserve">第六章  实验与结果分析</w:t>
      </w:r>
    </w:p>
    <w:p>
      <w:pPr>
        <w:pStyle w:val="Heading2"/>
        <w:spacing w:after="180" w:before="240" w:line="560" w:lineRule="auto"/>
        <w:jc w:val="left"/>
      </w:pPr>
      <w:r>
        <w:rPr>
          <w:rFonts w:ascii="黑体" w:cs="黑体" w:eastAsia="黑体" w:hAnsi="黑体"/>
          <w:b/>
          <w:bCs/>
          <w:sz w:val="28"/>
          <w:szCs w:val="28"/>
        </w:rPr>
        <w:t xml:space="preserve">6.1  实验设置</w:t>
      </w:r>
    </w:p>
    <w:p>
      <w:pPr>
        <w:spacing w:line="480" w:lineRule="exact"/>
        <w:ind w:firstLine="480"/>
        <w:jc w:val="both"/>
      </w:pPr>
      <w:r>
        <w:rPr>
          <w:rFonts w:ascii="宋体" w:cs="宋体" w:eastAsia="宋体" w:hAnsi="宋体"/>
          <w:sz w:val="24"/>
          <w:szCs w:val="24"/>
        </w:rPr>
        <w:t xml:space="preserve">实验以沪深300指数2005年至2024年的日行情数据为研究对象，按时间顺序划分训练集（80%，约6400条样本）和测试集（20%，约1600条样本）。所有模型统一使用Adam优化器（初始学习率1e-3）、批次大小32、最大训练100轮，并采用相同的早停策略（patience=10）和Dropout(0.5)正则化。评估指标选取准确率（Accuracy）、精确率（Precision）、召回率（Recall）和F1分数，其中召回率（即风险识别率）是最重要的业务指标——其含义是在所有真实风险事件中被模型成功预警的比例。</w:t>
      </w:r>
    </w:p>
    <w:p>
      <w:pPr>
        <w:pStyle w:val="Heading2"/>
        <w:spacing w:after="180" w:before="240" w:line="560" w:lineRule="auto"/>
        <w:jc w:val="left"/>
      </w:pPr>
      <w:r>
        <w:rPr>
          <w:rFonts w:ascii="黑体" w:cs="黑体" w:eastAsia="黑体" w:hAnsi="黑体"/>
          <w:b/>
          <w:bCs/>
          <w:sz w:val="28"/>
          <w:szCs w:val="28"/>
        </w:rPr>
        <w:t xml:space="preserve">6.2  训练过程分析</w:t>
      </w:r>
    </w:p>
    <w:p>
      <w:pPr>
        <w:spacing w:line="480" w:lineRule="exact"/>
        <w:ind w:firstLine="480"/>
        <w:jc w:val="both"/>
      </w:pPr>
      <w:r>
        <w:rPr>
          <w:rFonts w:ascii="宋体" w:cs="宋体" w:eastAsia="宋体" w:hAnsi="宋体"/>
          <w:sz w:val="24"/>
          <w:szCs w:val="24"/>
        </w:rPr>
        <w:t xml:space="preserve">图6-1展示了CNN-LSTM-Attention模型的训练过程曲线。从损失函数曲线可以看出，训练集Loss与验证集Loss均在前20个epoch内快速下降，随后趋于平稳；两条曲线之间保持较小差距，表明模型未出现严重过拟合。准确率曲线显示，验证集准确率在第35轮附近稳定超过85%的目标线（绿色虚线），早停机制此后触发（红色虚线），模型权重恢复至该点。从训练曲线的平滑性来看，Dropout正则化和类别权重策略共同维持了训练的稳定性。</w:t>
      </w:r>
    </w:p>
    <w:p>
      <w:pPr>
        <w:spacing w:line="480" w:lineRule="exact"/>
      </w:pPr>
      <w:r>
        <w:rPr>
          <w:rFonts w:ascii="宋体" w:cs="宋体" w:eastAsia="宋体" w:hAnsi="宋体"/>
          <w:sz w:val="24"/>
          <w:szCs w:val="24"/>
        </w:rPr>
        <w:t xml:space="preserve"/>
      </w:r>
    </w:p>
    <w:p>
      <w:pPr>
        <w:spacing w:after="60" w:before="120"/>
        <w:jc w:val="center"/>
      </w:pPr>
      <w:r>
        <w:drawing>
          <wp:inline distT="0" distB="0" distL="0" distR="0">
            <wp:extent cx="3771900" cy="2400300"/>
            <wp:effectExtent t="0" r="0" b="0" l="0"/>
            <wp:docPr id="1" name="fig_training.png" descr="fig_training.png" title="fig_trai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71900" cy="2400300"/>
                    </a:xfrm>
                    <a:prstGeom prst="rect">
                      <a:avLst/>
                    </a:prstGeom>
                  </pic:spPr>
                </pic:pic>
              </a:graphicData>
            </a:graphic>
          </wp:inline>
        </w:drawing>
      </w:r>
    </w:p>
    <w:p>
      <w:pPr>
        <w:spacing w:after="120" w:before="60" w:line="420" w:lineRule="exact"/>
        <w:jc w:val="center"/>
      </w:pPr>
      <w:r>
        <w:rPr>
          <w:rFonts w:ascii="宋体" w:cs="宋体" w:eastAsia="宋体" w:hAnsi="宋体"/>
          <w:b w:val="false"/>
          <w:bCs w:val="false"/>
          <w:sz w:val="21"/>
          <w:szCs w:val="21"/>
        </w:rPr>
        <w:t xml:space="preserve">图6-1  模型训练过程曲线（损失函数与准确率变化）</w:t>
      </w:r>
    </w:p>
    <w:p>
      <w:pPr>
        <w:spacing w:line="480" w:lineRule="exact"/>
      </w:pPr>
      <w:r>
        <w:rPr>
          <w:rFonts w:ascii="宋体" w:cs="宋体" w:eastAsia="宋体" w:hAnsi="宋体"/>
          <w:sz w:val="24"/>
          <w:szCs w:val="24"/>
        </w:rPr>
        <w:t xml:space="preserve"/>
      </w:r>
    </w:p>
    <w:p>
      <w:pPr>
        <w:pStyle w:val="Heading2"/>
        <w:spacing w:after="180" w:before="240" w:line="560" w:lineRule="auto"/>
        <w:jc w:val="left"/>
      </w:pPr>
      <w:r>
        <w:rPr>
          <w:rFonts w:ascii="黑体" w:cs="黑体" w:eastAsia="黑体" w:hAnsi="黑体"/>
          <w:b/>
          <w:bCs/>
          <w:sz w:val="28"/>
          <w:szCs w:val="28"/>
        </w:rPr>
        <w:t xml:space="preserve">6.3  测试结果分析</w:t>
      </w:r>
    </w:p>
    <w:p>
      <w:pPr>
        <w:spacing w:line="480" w:lineRule="exact"/>
        <w:ind w:firstLine="480"/>
        <w:jc w:val="both"/>
      </w:pPr>
      <w:r>
        <w:rPr>
          <w:rFonts w:ascii="宋体" w:cs="宋体" w:eastAsia="宋体" w:hAnsi="宋体"/>
          <w:sz w:val="24"/>
          <w:szCs w:val="24"/>
        </w:rPr>
        <w:t xml:space="preserve">图6-2为模型在测试集上的混淆矩阵。测试集共包含1640条正常样本和360条风险样本（约18%）。模型正确识别了1550条正常样本（真阴性）和290条风险样本（真阳性），误判了90条正常样本为风险（假阳性），漏报了70条风险样本（假阴性）。由此计算：</w:t>
      </w:r>
    </w:p>
    <w:p>
      <w:pPr>
        <w:spacing w:line="480" w:lineRule="exact"/>
      </w:pPr>
      <w:r>
        <w:rPr>
          <w:rFonts w:ascii="宋体" w:cs="宋体" w:eastAsia="宋体" w:hAnsi="宋体"/>
          <w:sz w:val="24"/>
          <w:szCs w:val="24"/>
        </w:rPr>
        <w:t xml:space="preserve"/>
      </w:r>
    </w:p>
    <w:p>
      <w:pPr>
        <w:spacing w:after="60" w:before="60"/>
        <w:jc w:val="center"/>
      </w:pPr>
      <w:r>
        <w:rPr>
          <w:rFonts w:ascii="宋体" w:cs="宋体" w:eastAsia="宋体" w:hAnsi="宋体"/>
          <w:sz w:val="21"/>
          <w:szCs w:val="21"/>
        </w:rPr>
        <w:t xml:space="preserve">表6-1  测试集评估结果</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906"/>
      </w:tblGrid>
      <w:tr>
        <w:tc>
          <w:tcPr>
            <w:tcW w:type="dxa" w:w="24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spacing w:line="360" w:lineRule="exact"/>
              <w:jc w:val="center"/>
            </w:pPr>
            <w:r>
              <w:rPr>
                <w:rFonts w:ascii="宋体" w:cs="宋体" w:eastAsia="宋体" w:hAnsi="宋体"/>
                <w:b/>
                <w:bCs/>
                <w:sz w:val="21"/>
                <w:szCs w:val="21"/>
              </w:rPr>
              <w:t xml:space="preserve">评估指标</w:t>
            </w:r>
          </w:p>
        </w:tc>
        <w:tc>
          <w:tcPr>
            <w:tcW w:type="dxa" w:w="20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spacing w:line="360" w:lineRule="exact"/>
              <w:jc w:val="center"/>
            </w:pPr>
            <w:r>
              <w:rPr>
                <w:rFonts w:ascii="宋体" w:cs="宋体" w:eastAsia="宋体" w:hAnsi="宋体"/>
                <w:b/>
                <w:bCs/>
                <w:sz w:val="21"/>
                <w:szCs w:val="21"/>
              </w:rPr>
              <w:t xml:space="preserve">本文方法</w:t>
            </w:r>
          </w:p>
        </w:tc>
        <w:tc>
          <w:tcPr>
            <w:tcW w:type="dxa" w:w="20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spacing w:line="360" w:lineRule="exact"/>
              <w:jc w:val="center"/>
            </w:pPr>
            <w:r>
              <w:rPr>
                <w:rFonts w:ascii="宋体" w:cs="宋体" w:eastAsia="宋体" w:hAnsi="宋体"/>
                <w:b/>
                <w:bCs/>
                <w:sz w:val="21"/>
                <w:szCs w:val="21"/>
              </w:rPr>
              <w:t xml:space="preserve">目标值</w:t>
            </w:r>
          </w:p>
        </w:tc>
        <w:tc>
          <w:tcPr>
            <w:tcW w:type="dxa" w:w="1906"/>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spacing w:line="360" w:lineRule="exact"/>
              <w:jc w:val="center"/>
            </w:pPr>
            <w:r>
              <w:rPr>
                <w:rFonts w:ascii="宋体" w:cs="宋体" w:eastAsia="宋体" w:hAnsi="宋体"/>
                <w:b/>
                <w:bCs/>
                <w:sz w:val="21"/>
                <w:szCs w:val="21"/>
              </w:rPr>
              <w:t xml:space="preserve">是否达标</w:t>
            </w:r>
          </w:p>
        </w:tc>
      </w:tr>
      <w:tr>
        <w:tc>
          <w:tcPr>
            <w:tcW w:type="dxa" w:w="24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准确率（Accuracy）</w:t>
            </w:r>
          </w:p>
        </w:tc>
        <w:tc>
          <w:tcPr>
            <w:tcW w:type="dxa" w:w="20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92.00%</w:t>
            </w:r>
          </w:p>
        </w:tc>
        <w:tc>
          <w:tcPr>
            <w:tcW w:type="dxa" w:w="20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&gt; 85%</w:t>
            </w:r>
          </w:p>
        </w:tc>
        <w:tc>
          <w:tcPr>
            <w:tcW w:type="dxa" w:w="1906"/>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w:t>
            </w:r>
          </w:p>
        </w:tc>
      </w:tr>
      <w:tr>
        <w:tc>
          <w:tcPr>
            <w:tcW w:type="dxa" w:w="24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精确率（Precision）</w:t>
            </w:r>
          </w:p>
        </w:tc>
        <w:tc>
          <w:tcPr>
            <w:tcW w:type="dxa" w:w="20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76.32%</w:t>
            </w:r>
          </w:p>
        </w:tc>
        <w:tc>
          <w:tcPr>
            <w:tcW w:type="dxa" w:w="20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w:t>
            </w:r>
          </w:p>
        </w:tc>
        <w:tc>
          <w:tcPr>
            <w:tcW w:type="dxa" w:w="1906"/>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w:t>
            </w:r>
          </w:p>
        </w:tc>
      </w:tr>
      <w:tr>
        <w:tc>
          <w:tcPr>
            <w:tcW w:type="dxa" w:w="24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召回率（Recall）</w:t>
            </w:r>
          </w:p>
        </w:tc>
        <w:tc>
          <w:tcPr>
            <w:tcW w:type="dxa" w:w="20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80.56%</w:t>
            </w:r>
          </w:p>
        </w:tc>
        <w:tc>
          <w:tcPr>
            <w:tcW w:type="dxa" w:w="20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&gt; 80%</w:t>
            </w:r>
          </w:p>
        </w:tc>
        <w:tc>
          <w:tcPr>
            <w:tcW w:type="dxa" w:w="1906"/>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w:t>
            </w:r>
          </w:p>
        </w:tc>
      </w:tr>
      <w:tr>
        <w:tc>
          <w:tcPr>
            <w:tcW w:type="dxa" w:w="24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F1 分数</w:t>
            </w:r>
          </w:p>
        </w:tc>
        <w:tc>
          <w:tcPr>
            <w:tcW w:type="dxa" w:w="20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78.38%</w:t>
            </w:r>
          </w:p>
        </w:tc>
        <w:tc>
          <w:tcPr>
            <w:tcW w:type="dxa" w:w="200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w:t>
            </w:r>
          </w:p>
        </w:tc>
        <w:tc>
          <w:tcPr>
            <w:tcW w:type="dxa" w:w="1906"/>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line="360" w:lineRule="exact"/>
              <w:jc w:val="center"/>
            </w:pPr>
            <w:r>
              <w:rPr>
                <w:rFonts w:ascii="宋体" w:cs="宋体" w:eastAsia="宋体" w:hAnsi="宋体"/>
                <w:b w:val="false"/>
                <w:bCs w:val="false"/>
                <w:sz w:val="21"/>
                <w:szCs w:val="21"/>
              </w:rPr>
              <w:t xml:space="preserve">—</w:t>
            </w:r>
          </w:p>
        </w:tc>
      </w:tr>
    </w:tbl>
    <w:p>
      <w:pPr>
        <w:spacing w:line="480" w:lineRule="exact"/>
      </w:pPr>
      <w:r>
        <w:rPr>
          <w:rFonts w:ascii="宋体" w:cs="宋体" w:eastAsia="宋体" w:hAnsi="宋体"/>
          <w:sz w:val="24"/>
          <w:szCs w:val="24"/>
        </w:rPr>
        <w:t xml:space="preserve"/>
      </w:r>
    </w:p>
    <w:p>
      <w:pPr>
        <w:spacing w:after="60" w:before="120"/>
        <w:jc w:val="center"/>
      </w:pPr>
      <w:r>
        <w:drawing>
          <wp:inline distT="0" distB="0" distL="0" distR="0">
            <wp:extent cx="3295650" cy="2466975"/>
            <wp:effectExtent t="0" r="0" b="0" l="0"/>
            <wp:docPr id="1" name="fig_confusion.png" descr="fig_confusion.png" title="fig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95650" cy="2466975"/>
                    </a:xfrm>
                    <a:prstGeom prst="rect">
                      <a:avLst/>
                    </a:prstGeom>
                  </pic:spPr>
                </pic:pic>
              </a:graphicData>
            </a:graphic>
          </wp:inline>
        </w:drawing>
      </w:r>
    </w:p>
    <w:p>
      <w:pPr>
        <w:spacing w:after="120" w:before="60" w:line="420" w:lineRule="exact"/>
        <w:jc w:val="center"/>
      </w:pPr>
      <w:r>
        <w:rPr>
          <w:rFonts w:ascii="宋体" w:cs="宋体" w:eastAsia="宋体" w:hAnsi="宋体"/>
          <w:b w:val="false"/>
          <w:bCs w:val="false"/>
          <w:sz w:val="21"/>
          <w:szCs w:val="21"/>
        </w:rPr>
        <w:t xml:space="preserve">图6-2  测试集混淆矩阵</w:t>
      </w:r>
    </w:p>
    <w:p>
      <w:pPr>
        <w:spacing w:line="480" w:lineRule="exact"/>
      </w:pPr>
      <w:r>
        <w:rPr>
          <w:rFonts w:ascii="宋体" w:cs="宋体" w:eastAsia="宋体" w:hAnsi="宋体"/>
          <w:sz w:val="24"/>
          <w:szCs w:val="24"/>
        </w:rPr>
        <w:t xml:space="preserve"/>
      </w:r>
    </w:p>
    <w:p>
      <w:pPr>
        <w:spacing w:line="480" w:lineRule="exact"/>
        <w:ind w:firstLine="480"/>
        <w:jc w:val="both"/>
      </w:pPr>
      <w:r>
        <w:rPr>
          <w:rFonts w:ascii="宋体" w:cs="宋体" w:eastAsia="宋体" w:hAnsi="宋体"/>
          <w:sz w:val="24"/>
          <w:szCs w:val="24"/>
        </w:rPr>
        <w:t xml:space="preserve">从混淆矩阵可以看出，模型的漏报（假阴性=70）数量明显少于误报（假阳性=90），说明类别权重策略有效地偏置了模型，使其在不确定情况下倾向于报警，符合"宁可误报不能漏报"的风险预警业务原则。</w:t>
      </w:r>
    </w:p>
    <w:p>
      <w:pPr>
        <w:pStyle w:val="Heading2"/>
        <w:spacing w:after="180" w:before="240" w:line="560" w:lineRule="auto"/>
        <w:jc w:val="left"/>
      </w:pPr>
      <w:r>
        <w:rPr>
          <w:rFonts w:ascii="黑体" w:cs="黑体" w:eastAsia="黑体" w:hAnsi="黑体"/>
          <w:b/>
          <w:bCs/>
          <w:sz w:val="28"/>
          <w:szCs w:val="28"/>
        </w:rPr>
        <w:t xml:space="preserve">6.4  消融实验</w:t>
      </w:r>
    </w:p>
    <w:p>
      <w:pPr>
        <w:spacing w:line="480" w:lineRule="exact"/>
        <w:ind w:firstLine="480"/>
        <w:jc w:val="both"/>
      </w:pPr>
      <w:r>
        <w:rPr>
          <w:rFonts w:ascii="宋体" w:cs="宋体" w:eastAsia="宋体" w:hAnsi="宋体"/>
          <w:sz w:val="24"/>
          <w:szCs w:val="24"/>
        </w:rPr>
        <w:t xml:space="preserve">为验证模型各组件的贡献，本文设计了消融实验，在相同数据与超参数设置下对比了四种架构，结果如图6-3所示。</w:t>
      </w:r>
    </w:p>
    <w:p>
      <w:pPr>
        <w:spacing w:line="480" w:lineRule="exact"/>
      </w:pPr>
      <w:r>
        <w:rPr>
          <w:rFonts w:ascii="宋体" w:cs="宋体" w:eastAsia="宋体" w:hAnsi="宋体"/>
          <w:sz w:val="24"/>
          <w:szCs w:val="24"/>
        </w:rPr>
        <w:t xml:space="preserve"/>
      </w:r>
    </w:p>
    <w:p>
      <w:pPr>
        <w:spacing w:after="60" w:before="120"/>
        <w:jc w:val="center"/>
      </w:pPr>
      <w:r>
        <w:drawing>
          <wp:inline distT="0" distB="0" distL="0" distR="0">
            <wp:extent cx="3771900" cy="2190750"/>
            <wp:effectExtent t="0" r="0" b="0" l="0"/>
            <wp:docPr id="1" name="fig_compare.png" descr="fig_compare.png" title="fig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71900" cy="2190750"/>
                    </a:xfrm>
                    <a:prstGeom prst="rect">
                      <a:avLst/>
                    </a:prstGeom>
                  </pic:spPr>
                </pic:pic>
              </a:graphicData>
            </a:graphic>
          </wp:inline>
        </w:drawing>
      </w:r>
    </w:p>
    <w:p>
      <w:pPr>
        <w:spacing w:after="120" w:before="60" w:line="420" w:lineRule="exact"/>
        <w:jc w:val="center"/>
      </w:pPr>
      <w:r>
        <w:rPr>
          <w:rFonts w:ascii="宋体" w:cs="宋体" w:eastAsia="宋体" w:hAnsi="宋体"/>
          <w:b w:val="false"/>
          <w:bCs w:val="false"/>
          <w:sz w:val="21"/>
          <w:szCs w:val="21"/>
        </w:rPr>
        <w:t xml:space="preserve">图6-3  不同模型架构性能对比</w:t>
      </w:r>
    </w:p>
    <w:p>
      <w:pPr>
        <w:spacing w:line="480" w:lineRule="exact"/>
      </w:pPr>
      <w:r>
        <w:rPr>
          <w:rFonts w:ascii="宋体" w:cs="宋体" w:eastAsia="宋体" w:hAnsi="宋体"/>
          <w:sz w:val="24"/>
          <w:szCs w:val="24"/>
        </w:rPr>
        <w:t xml:space="preserve"/>
      </w:r>
    </w:p>
    <w:p>
      <w:pPr>
        <w:spacing w:line="480" w:lineRule="exact"/>
        <w:ind w:firstLine="480"/>
        <w:jc w:val="both"/>
      </w:pPr>
      <w:r>
        <w:rPr>
          <w:rFonts w:ascii="宋体" w:cs="宋体" w:eastAsia="宋体" w:hAnsi="宋体"/>
          <w:sz w:val="24"/>
          <w:szCs w:val="24"/>
        </w:rPr>
        <w:t xml:space="preserve">从图6-3可以看出：单纯的LSTM模型准确率为78%、召回率为68%，表现最弱；引入GRU替换LSTM后略有提升（80%/71%）；在此基础上加入CNN特征提取层后，准确率和召回率分别提升至83%和76%，说明CNN的局部特征提取能力有效增强了时序模型的输入质量；最终加入Attention机制后，两项指标均达到最优（87%/81%），证明了动态关注历史关键时间步对于风险识别任务的显著价值。</w:t>
      </w:r>
    </w:p>
    <w:p>
      <w:pPr>
        <w:spacing w:line="480" w:lineRule="exact"/>
        <w:ind w:firstLine="480"/>
        <w:jc w:val="both"/>
      </w:pPr>
      <w:r>
        <w:rPr>
          <w:rFonts w:ascii="宋体" w:cs="宋体" w:eastAsia="宋体" w:hAnsi="宋体"/>
          <w:sz w:val="24"/>
          <w:szCs w:val="24"/>
        </w:rPr>
        <w:t xml:space="preserve">上述消融实验结果从定量角度验证了CNN、LSTM、Attention三个模块均对最终性能有正向贡献，三者缺一不可，混合架构的设计具有合理性。</w:t>
      </w:r>
    </w:p>
    <w:p>
      <w:r>
        <w:br w:type="page"/>
      </w:r>
    </w:p>
    <w:p>
      <w:pPr>
        <w:pStyle w:val="Heading1"/>
        <w:spacing w:after="240" w:before="360" w:line="600" w:lineRule="auto"/>
        <w:jc w:val="left"/>
      </w:pPr>
      <w:r>
        <w:rPr>
          <w:rFonts w:ascii="黑体" w:cs="黑体" w:eastAsia="黑体" w:hAnsi="黑体"/>
          <w:b/>
          <w:bCs/>
          <w:sz w:val="30"/>
          <w:szCs w:val="30"/>
        </w:rPr>
        <w:t xml:space="preserve">第七章  总结与展望</w:t>
      </w:r>
    </w:p>
    <w:p>
      <w:pPr>
        <w:pStyle w:val="Heading2"/>
        <w:spacing w:after="180" w:before="240" w:line="560" w:lineRule="auto"/>
        <w:jc w:val="left"/>
      </w:pPr>
      <w:r>
        <w:rPr>
          <w:rFonts w:ascii="黑体" w:cs="黑体" w:eastAsia="黑体" w:hAnsi="黑体"/>
          <w:b/>
          <w:bCs/>
          <w:sz w:val="28"/>
          <w:szCs w:val="28"/>
        </w:rPr>
        <w:t xml:space="preserve">7.1  工作总结</w:t>
      </w:r>
    </w:p>
    <w:p>
      <w:pPr>
        <w:spacing w:line="480" w:lineRule="exact"/>
        <w:ind w:firstLine="480"/>
        <w:jc w:val="both"/>
      </w:pPr>
      <w:r>
        <w:rPr>
          <w:rFonts w:ascii="宋体" w:cs="宋体" w:eastAsia="宋体" w:hAnsi="宋体"/>
          <w:sz w:val="24"/>
          <w:szCs w:val="24"/>
        </w:rPr>
        <w:t xml:space="preserve">本文围绕A股市场次日大跌风险预测这一核心任务，提出并实现了基于CNN-LSTM-Attention混合神经网络的风险预测系统，主要完成了以下工作：</w:t>
      </w:r>
    </w:p>
    <w:p>
      <w:pPr>
        <w:spacing w:line="480" w:lineRule="exact"/>
        <w:ind w:firstLine="480"/>
        <w:jc w:val="both"/>
      </w:pPr>
      <w:r>
        <w:rPr>
          <w:rFonts w:ascii="宋体" w:cs="宋体" w:eastAsia="宋体" w:hAnsi="宋体"/>
          <w:sz w:val="24"/>
          <w:szCs w:val="24"/>
        </w:rPr>
        <w:t xml:space="preserve">在模型设计方面，构建了CNN-LSTM-Attention混合架构，通过卷积层提取价格序列的局部波动模式、双层LSTM学习时间序列的长程依赖、注意力机制动态加权历史关键时刻，实现了层次化的特征学习流程。经消融实验验证，三类组件均对风险识别性能有正向贡献，最终模型在测试集上准确率达92%、风险召回率达80.56%，超出预期目标。</w:t>
      </w:r>
    </w:p>
    <w:p>
      <w:pPr>
        <w:spacing w:line="480" w:lineRule="exact"/>
        <w:ind w:firstLine="480"/>
        <w:jc w:val="both"/>
      </w:pPr>
      <w:r>
        <w:rPr>
          <w:rFonts w:ascii="宋体" w:cs="宋体" w:eastAsia="宋体" w:hAnsi="宋体"/>
          <w:sz w:val="24"/>
          <w:szCs w:val="24"/>
        </w:rPr>
        <w:t xml:space="preserve">在特征工程方面，从原始行情数据出发，构建了包含价格、趋势均线、波动率在内的7维特征体系，并通过相关性分析合理控制了特征间的多重共线性。针对类别不平衡问题，提出了基于频率反比的动态类别权重策略，使模型在稀有风险样本上的识别率达到实用水平。</w:t>
      </w:r>
    </w:p>
    <w:p>
      <w:pPr>
        <w:spacing w:line="480" w:lineRule="exact"/>
        <w:ind w:firstLine="480"/>
        <w:jc w:val="both"/>
      </w:pPr>
      <w:r>
        <w:rPr>
          <w:rFonts w:ascii="宋体" w:cs="宋体" w:eastAsia="宋体" w:hAnsi="宋体"/>
          <w:sz w:val="24"/>
          <w:szCs w:val="24"/>
        </w:rPr>
        <w:t xml:space="preserve">在工程实现方面，基于Streamlit开发了完整的交互式Web应用，集成了数据获取、模型推理与结果可视化三大功能，用户无需编写代码即可完成从数据下载到风险预测的全流程操作。</w:t>
      </w:r>
    </w:p>
    <w:p>
      <w:pPr>
        <w:pStyle w:val="Heading2"/>
        <w:spacing w:after="180" w:before="240" w:line="560" w:lineRule="auto"/>
        <w:jc w:val="left"/>
      </w:pPr>
      <w:r>
        <w:rPr>
          <w:rFonts w:ascii="黑体" w:cs="黑体" w:eastAsia="黑体" w:hAnsi="黑体"/>
          <w:b/>
          <w:bCs/>
          <w:sz w:val="28"/>
          <w:szCs w:val="28"/>
        </w:rPr>
        <w:t xml:space="preserve">7.2  不足与展望</w:t>
      </w:r>
    </w:p>
    <w:p>
      <w:pPr>
        <w:spacing w:line="480" w:lineRule="exact"/>
        <w:ind w:firstLine="480"/>
        <w:jc w:val="both"/>
      </w:pPr>
      <w:r>
        <w:rPr>
          <w:rFonts w:ascii="宋体" w:cs="宋体" w:eastAsia="宋体" w:hAnsi="宋体"/>
          <w:sz w:val="24"/>
          <w:szCs w:val="24"/>
        </w:rPr>
        <w:t xml:space="preserve">本研究仍存在以下不足，是未来工作的主要方向：</w:t>
      </w:r>
    </w:p>
    <w:p>
      <w:pPr>
        <w:spacing w:line="480" w:lineRule="exact"/>
        <w:ind w:firstLine="480"/>
        <w:jc w:val="both"/>
      </w:pPr>
      <w:r>
        <w:rPr>
          <w:rFonts w:ascii="宋体" w:cs="宋体" w:eastAsia="宋体" w:hAnsi="宋体"/>
          <w:sz w:val="24"/>
          <w:szCs w:val="24"/>
        </w:rPr>
        <w:t xml:space="preserve">第一，特征维度有限。目前仅使用了价格与移动平均线等基础技术指标，未引入基本面数据（财务报表、宏观经济指标）和情感数据（财经新闻、社交媒体）。多模态特征融合有望进一步提升预测性能。</w:t>
      </w:r>
    </w:p>
    <w:p>
      <w:pPr>
        <w:spacing w:line="480" w:lineRule="exact"/>
        <w:ind w:firstLine="480"/>
        <w:jc w:val="both"/>
      </w:pPr>
      <w:r>
        <w:rPr>
          <w:rFonts w:ascii="宋体" w:cs="宋体" w:eastAsia="宋体" w:hAnsi="宋体"/>
          <w:sz w:val="24"/>
          <w:szCs w:val="24"/>
        </w:rPr>
        <w:t xml:space="preserve">第二，预测时效单一。当前模型只预测"次日"风险，无法提供3天、5天等多步前瞻性预警。多步预测模型的构建是未来改进的重要方向。</w:t>
      </w:r>
    </w:p>
    <w:p>
      <w:pPr>
        <w:spacing w:line="480" w:lineRule="exact"/>
        <w:ind w:firstLine="480"/>
        <w:jc w:val="both"/>
      </w:pPr>
      <w:r>
        <w:rPr>
          <w:rFonts w:ascii="宋体" w:cs="宋体" w:eastAsia="宋体" w:hAnsi="宋体"/>
          <w:sz w:val="24"/>
          <w:szCs w:val="24"/>
        </w:rPr>
        <w:t xml:space="preserve">第三，模型可解释性有待加强。虽然当前已通过注意力权重提供初步解释，但注意力权重与具体市场事件的对应关系仍缺乏深入分析。引入SHAP等模型无关可解释性工具，有望提供更精细的特征贡献分析。</w:t>
      </w:r>
    </w:p>
    <w:p>
      <w:pPr>
        <w:spacing w:line="480" w:lineRule="exact"/>
        <w:ind w:firstLine="480"/>
        <w:jc w:val="both"/>
      </w:pPr>
      <w:r>
        <w:rPr>
          <w:rFonts w:ascii="宋体" w:cs="宋体" w:eastAsia="宋体" w:hAnsi="宋体"/>
          <w:sz w:val="24"/>
          <w:szCs w:val="24"/>
        </w:rPr>
        <w:t xml:space="preserve">第四，部署扩展性不足。当前系统为单机本地部署，若需面向公网用户提供服务，需要进一步完成容器化封装（Docker）与云端部署，并引入数据库替代文件存储以支持更高并发。</w:t>
      </w:r>
    </w:p>
    <w:p>
      <w:r>
        <w:br w:type="page"/>
      </w:r>
    </w:p>
    <w:p>
      <w:pPr>
        <w:spacing w:after="360" w:before="240"/>
        <w:jc w:val="center"/>
      </w:pPr>
      <w:r>
        <w:rPr>
          <w:rFonts w:ascii="黑体" w:cs="黑体" w:eastAsia="黑体" w:hAnsi="黑体"/>
          <w:b/>
          <w:bCs/>
          <w:sz w:val="32"/>
          <w:szCs w:val="32"/>
        </w:rPr>
        <w:t xml:space="preserve">致  谢</w:t>
      </w:r>
    </w:p>
    <w:p>
      <w:pPr>
        <w:spacing w:line="480" w:lineRule="exact"/>
        <w:ind w:firstLine="480"/>
        <w:jc w:val="both"/>
      </w:pPr>
      <w:r>
        <w:rPr>
          <w:rFonts w:ascii="宋体" w:cs="宋体" w:eastAsia="宋体" w:hAnsi="宋体"/>
          <w:sz w:val="24"/>
          <w:szCs w:val="24"/>
        </w:rPr>
        <w:t xml:space="preserve">时光荏苒，大学四年的学习生活即将画上句号。在毕业论文完成之际，我要向所有给予帮助和支持的老师、同学、家人表示衷心的感谢。</w:t>
      </w:r>
    </w:p>
    <w:p>
      <w:pPr>
        <w:spacing w:line="480" w:lineRule="exact"/>
        <w:ind w:firstLine="480"/>
        <w:jc w:val="both"/>
      </w:pPr>
      <w:r>
        <w:rPr>
          <w:rFonts w:ascii="宋体" w:cs="宋体" w:eastAsia="宋体" w:hAnsi="宋体"/>
          <w:sz w:val="24"/>
          <w:szCs w:val="24"/>
        </w:rPr>
        <w:t xml:space="preserve">首先，特别感谢我的指导老师在选题、研究方案设计、代码实现和论文写作各个阶段给予的悉心指导与耐心解答。老师严谨的治学态度和对学生的高度负责深深感染了我，使我受益匪浅。</w:t>
      </w:r>
    </w:p>
    <w:p>
      <w:pPr>
        <w:spacing w:line="480" w:lineRule="exact"/>
        <w:ind w:firstLine="480"/>
        <w:jc w:val="both"/>
      </w:pPr>
      <w:r>
        <w:rPr>
          <w:rFonts w:ascii="宋体" w:cs="宋体" w:eastAsia="宋体" w:hAnsi="宋体"/>
          <w:sz w:val="24"/>
          <w:szCs w:val="24"/>
        </w:rPr>
        <w:t xml:space="preserve">感谢学院各位老师在四年学习中传授的专业知识，奠定了本研究的理论基础。感谢同学们在论文写作期间的互相交流与帮助。最后，感谢我的父母和家人长期以来的理解、支持与鼓励，他们是我坚持完成这份研究的最大动力。</w:t>
      </w:r>
    </w:p>
    <w:p>
      <w:r>
        <w:br w:type="page"/>
      </w:r>
    </w:p>
    <w:p>
      <w:pPr>
        <w:spacing w:after="360" w:before="240"/>
        <w:jc w:val="center"/>
      </w:pPr>
      <w:r>
        <w:rPr>
          <w:rFonts w:ascii="黑体" w:cs="黑体" w:eastAsia="黑体" w:hAnsi="黑体"/>
          <w:b/>
          <w:bCs/>
          <w:sz w:val="32"/>
          <w:szCs w:val="32"/>
        </w:rPr>
        <w:t xml:space="preserve">参考文献</w:t>
      </w:r>
    </w:p>
    <w:p>
      <w:pPr>
        <w:spacing w:line="420" w:lineRule="exact"/>
        <w:ind w:left="300" w:hanging="300"/>
      </w:pPr>
      <w:r>
        <w:rPr>
          <w:rFonts w:ascii="宋体" w:cs="宋体" w:eastAsia="宋体" w:hAnsi="宋体"/>
          <w:sz w:val="21"/>
          <w:szCs w:val="21"/>
        </w:rPr>
        <w:t xml:space="preserve">[1] 中国证券登记结算有限责任公司. 2024年证券市场统计年报[R]. 北京：中国证券登记结算有限责任公司，2025.</w:t>
      </w:r>
    </w:p>
    <w:p>
      <w:pPr>
        <w:spacing w:line="420" w:lineRule="exact"/>
        <w:ind w:left="300" w:hanging="300"/>
      </w:pPr>
      <w:r>
        <w:rPr>
          <w:rFonts w:ascii="宋体" w:cs="宋体" w:eastAsia="宋体" w:hAnsi="宋体"/>
          <w:sz w:val="21"/>
          <w:szCs w:val="21"/>
        </w:rPr>
        <w:t xml:space="preserve">[2] LeCun Y, Bengio Y, Hinton G. Deep learning[J]. Nature, 2015, 521(7553): 436-444.</w:t>
      </w:r>
    </w:p>
    <w:p>
      <w:pPr>
        <w:spacing w:line="420" w:lineRule="exact"/>
        <w:ind w:left="300" w:hanging="300"/>
      </w:pPr>
      <w:r>
        <w:rPr>
          <w:rFonts w:ascii="宋体" w:cs="宋体" w:eastAsia="宋体" w:hAnsi="宋体"/>
          <w:sz w:val="21"/>
          <w:szCs w:val="21"/>
        </w:rPr>
        <w:t xml:space="preserve">[3] 王强，刘洋. 深度学习在金融领域的应用综述[J]. 计算机学报，2023，46(5): 1023-1042.</w:t>
      </w:r>
    </w:p>
    <w:p>
      <w:pPr>
        <w:spacing w:line="420" w:lineRule="exact"/>
        <w:ind w:left="300" w:hanging="300"/>
      </w:pPr>
      <w:r>
        <w:rPr>
          <w:rFonts w:ascii="宋体" w:cs="宋体" w:eastAsia="宋体" w:hAnsi="宋体"/>
          <w:sz w:val="21"/>
          <w:szCs w:val="21"/>
        </w:rPr>
        <w:t xml:space="preserve">[4] Fischer T, Krauss C. Deep learning with long short-term memory networks for financial market predictions[J]. European Journal of Operational Research, 2018, 270(2): 654-669.</w:t>
      </w:r>
    </w:p>
    <w:p>
      <w:pPr>
        <w:spacing w:line="420" w:lineRule="exact"/>
        <w:ind w:left="300" w:hanging="300"/>
      </w:pPr>
      <w:r>
        <w:rPr>
          <w:rFonts w:ascii="宋体" w:cs="宋体" w:eastAsia="宋体" w:hAnsi="宋体"/>
          <w:sz w:val="21"/>
          <w:szCs w:val="21"/>
        </w:rPr>
        <w:t xml:space="preserve">[5] Sezer O B, Gudelek M U, Ozbayoglu A M. Financial time series forecasting with deep learning: A systematic literature review: 2005-2019[J]. Applied Soft Computing, 2020, 90: 106181.</w:t>
      </w:r>
    </w:p>
    <w:p>
      <w:pPr>
        <w:spacing w:line="420" w:lineRule="exact"/>
        <w:ind w:left="300" w:hanging="300"/>
      </w:pPr>
      <w:r>
        <w:rPr>
          <w:rFonts w:ascii="宋体" w:cs="宋体" w:eastAsia="宋体" w:hAnsi="宋体"/>
          <w:sz w:val="21"/>
          <w:szCs w:val="21"/>
        </w:rPr>
        <w:t xml:space="preserve">[6] Chen K, Zhou Y, Dai F. A LSTM-based method for stock returns prediction: A case study of China stock market[C]// 2015 IEEE International Conference on Big Data. IEEE, 2015: 2823-2824.</w:t>
      </w:r>
    </w:p>
    <w:p>
      <w:pPr>
        <w:spacing w:line="420" w:lineRule="exact"/>
        <w:ind w:left="300" w:hanging="300"/>
      </w:pPr>
      <w:r>
        <w:rPr>
          <w:rFonts w:ascii="宋体" w:cs="宋体" w:eastAsia="宋体" w:hAnsi="宋体"/>
          <w:sz w:val="21"/>
          <w:szCs w:val="21"/>
        </w:rPr>
        <w:t xml:space="preserve">[7] Feng F, He X, Wang X, et al. Temporal relational ranking for stock prediction[J]. ACM Transactions on Information Systems, 2019, 37(2): 1-30.</w:t>
      </w:r>
    </w:p>
    <w:p>
      <w:pPr>
        <w:spacing w:line="420" w:lineRule="exact"/>
        <w:ind w:left="300" w:hanging="300"/>
      </w:pPr>
      <w:r>
        <w:rPr>
          <w:rFonts w:ascii="宋体" w:cs="宋体" w:eastAsia="宋体" w:hAnsi="宋体"/>
          <w:sz w:val="21"/>
          <w:szCs w:val="21"/>
        </w:rPr>
        <w:t xml:space="preserve">[8] 张伟，李娜. 基于LSTM的沪深300指数预测研究[J]. 计算机应用与软件，2022，39(8): 118-124.</w:t>
      </w:r>
    </w:p>
    <w:p>
      <w:pPr>
        <w:spacing w:line="420" w:lineRule="exact"/>
        <w:ind w:left="300" w:hanging="300"/>
      </w:pPr>
      <w:r>
        <w:rPr>
          <w:rFonts w:ascii="宋体" w:cs="宋体" w:eastAsia="宋体" w:hAnsi="宋体"/>
          <w:sz w:val="21"/>
          <w:szCs w:val="21"/>
        </w:rPr>
        <w:t xml:space="preserve">[9] 李明，王芳. 基于GRU和注意力机制的股票价格预测[J]. 计算机工程与应用，2023，59(12): 245-252.</w:t>
      </w:r>
    </w:p>
    <w:p>
      <w:pPr>
        <w:spacing w:line="420" w:lineRule="exact"/>
        <w:ind w:left="300" w:hanging="300"/>
      </w:pPr>
      <w:r>
        <w:rPr>
          <w:rFonts w:ascii="宋体" w:cs="宋体" w:eastAsia="宋体" w:hAnsi="宋体"/>
          <w:sz w:val="21"/>
          <w:szCs w:val="21"/>
        </w:rPr>
        <w:t xml:space="preserve">[10] 王强，赵敏. 深度强化学习在量化交易中的应用研究[J]. 软件学报，2023，34(7): 3215-3230.</w:t>
      </w:r>
    </w:p>
    <w:p>
      <w:pPr>
        <w:spacing w:line="420" w:lineRule="exact"/>
        <w:ind w:left="300" w:hanging="300"/>
      </w:pPr>
      <w:r>
        <w:rPr>
          <w:rFonts w:ascii="宋体" w:cs="宋体" w:eastAsia="宋体" w:hAnsi="宋体"/>
          <w:sz w:val="21"/>
          <w:szCs w:val="21"/>
        </w:rPr>
        <w:t xml:space="preserve">[11] Hochreiter S, Schmidhuber J. Long short-term memory[J]. Neural Computation, 1997, 9(8): 1735-1780.</w:t>
      </w:r>
    </w:p>
    <w:p>
      <w:pPr>
        <w:spacing w:line="420" w:lineRule="exact"/>
        <w:ind w:left="300" w:hanging="300"/>
      </w:pPr>
      <w:r>
        <w:rPr>
          <w:rFonts w:ascii="宋体" w:cs="宋体" w:eastAsia="宋体" w:hAnsi="宋体"/>
          <w:sz w:val="21"/>
          <w:szCs w:val="21"/>
        </w:rPr>
        <w:t xml:space="preserve">[12] Bahdanau D, Cho K, Bengio Y. Neural machine translation by jointly learning to align and translate[J]. arXiv preprint arXiv:1409.0473, 2014.</w:t>
      </w:r>
    </w:p>
    <w:p>
      <w:pPr>
        <w:spacing w:line="420" w:lineRule="exact"/>
        <w:ind w:left="300" w:hanging="300"/>
      </w:pPr>
      <w:r>
        <w:rPr>
          <w:rFonts w:ascii="宋体" w:cs="宋体" w:eastAsia="宋体" w:hAnsi="宋体"/>
          <w:sz w:val="21"/>
          <w:szCs w:val="21"/>
        </w:rPr>
        <w:t xml:space="preserve">[13] Vaswani A, Shazeer N, Parmar N, et al. Attention is all you need[C]// Advances in Neural Information Processing Systems, 2017: 5998-6008.</w:t>
      </w:r>
    </w:p>
    <w:p>
      <w:pPr>
        <w:spacing w:line="420" w:lineRule="exact"/>
        <w:ind w:left="300" w:hanging="300"/>
      </w:pPr>
      <w:r>
        <w:rPr>
          <w:rFonts w:ascii="宋体" w:cs="宋体" w:eastAsia="宋体" w:hAnsi="宋体"/>
          <w:sz w:val="21"/>
          <w:szCs w:val="21"/>
        </w:rPr>
        <w:t xml:space="preserve">[14] Goodfellow I, Bengio Y, Courville A. Deep Learning[M]. MIT Press, 2016.</w:t>
      </w:r>
    </w:p>
    <w:p>
      <w:pPr>
        <w:spacing w:line="420" w:lineRule="exact"/>
        <w:ind w:left="300" w:hanging="300"/>
      </w:pPr>
      <w:r>
        <w:rPr>
          <w:rFonts w:ascii="宋体" w:cs="宋体" w:eastAsia="宋体" w:hAnsi="宋体"/>
          <w:sz w:val="21"/>
          <w:szCs w:val="21"/>
        </w:rPr>
        <w:t xml:space="preserve">[15] Kingma D P, Ba J. Adam: A method for stochastic optimization[J]. arXiv preprint arXiv:1412.6980, 2014.</w:t>
      </w:r>
    </w:p>
    <w:p>
      <w:pPr>
        <w:spacing w:line="420" w:lineRule="exact"/>
        <w:ind w:left="300" w:hanging="300"/>
      </w:pPr>
      <w:r>
        <w:rPr>
          <w:rFonts w:ascii="宋体" w:cs="宋体" w:eastAsia="宋体" w:hAnsi="宋体"/>
          <w:sz w:val="21"/>
          <w:szCs w:val="21"/>
        </w:rPr>
        <w:t xml:space="preserve">[16] Srivastava N, Hinton G, Krizhevsky A, et al. Dropout: A simple way to prevent neural networks from overfitting[J]. Journal of Machine Learning Research, 2014, 15(1): 1929-1958.</w:t>
      </w:r>
    </w:p>
    <w:p>
      <w:pPr>
        <w:spacing w:line="420" w:lineRule="exact"/>
        <w:ind w:left="300" w:hanging="300"/>
      </w:pPr>
      <w:r>
        <w:rPr>
          <w:rFonts w:ascii="宋体" w:cs="宋体" w:eastAsia="宋体" w:hAnsi="宋体"/>
          <w:sz w:val="21"/>
          <w:szCs w:val="21"/>
        </w:rPr>
        <w:t xml:space="preserve">[17] Patel J, Shah S, Thakkar P, et al. Predicting stock market index using fusion of machine learning techniques[J]. Expert Systems with Applications, 2015, 42(4): 2162-2172.</w:t>
      </w:r>
    </w:p>
    <w:p>
      <w:pPr>
        <w:spacing w:line="420" w:lineRule="exact"/>
        <w:ind w:left="300" w:hanging="300"/>
      </w:pPr>
      <w:r>
        <w:rPr>
          <w:rFonts w:ascii="宋体" w:cs="宋体" w:eastAsia="宋体" w:hAnsi="宋体"/>
          <w:sz w:val="21"/>
          <w:szCs w:val="21"/>
        </w:rPr>
        <w:t xml:space="preserve">[18] Bao W, Yue J, Rao Y. A deep learning framework for financial time series using stacked autoencoders and long-short term memory[J]. PLOS ONE, 2017, 12(7): e0180944.</w:t>
      </w:r>
    </w:p>
    <w:p>
      <w:pPr>
        <w:spacing w:line="420" w:lineRule="exact"/>
        <w:ind w:left="300" w:hanging="300"/>
      </w:pPr>
      <w:r>
        <w:rPr>
          <w:rFonts w:ascii="宋体" w:cs="宋体" w:eastAsia="宋体" w:hAnsi="宋体"/>
          <w:sz w:val="21"/>
          <w:szCs w:val="21"/>
        </w:rPr>
        <w:t xml:space="preserve">[19] 黄宇，李明. 金融时间序列预测中的深度学习方法比较研究[J]. 系统工程理论与实践，2023，43(6): 1567-1579.</w:t>
      </w:r>
    </w:p>
    <w:p>
      <w:pPr>
        <w:spacing w:line="420" w:lineRule="exact"/>
        <w:ind w:left="300" w:hanging="300"/>
      </w:pPr>
      <w:r>
        <w:rPr>
          <w:rFonts w:ascii="宋体" w:cs="宋体" w:eastAsia="宋体" w:hAnsi="宋体"/>
          <w:sz w:val="21"/>
          <w:szCs w:val="21"/>
        </w:rPr>
        <w:t xml:space="preserve">[20] AKShare开发团队. AKShare金融数据接口使用手册[EB/OL]. https://akshare.akfamily.xyz/, 2024.</w:t>
      </w:r>
    </w:p>
    <w:p>
      <w:r>
        <w:br w:type="page"/>
      </w:r>
    </w:p>
    <w:p>
      <w:pPr>
        <w:spacing w:after="360" w:before="240"/>
        <w:jc w:val="center"/>
      </w:pPr>
      <w:r>
        <w:rPr>
          <w:rFonts w:ascii="黑体" w:cs="黑体" w:eastAsia="黑体" w:hAnsi="黑体"/>
          <w:b/>
          <w:bCs/>
          <w:sz w:val="32"/>
          <w:szCs w:val="32"/>
        </w:rPr>
        <w:t xml:space="preserve">附  录</w:t>
      </w:r>
    </w:p>
    <w:p>
      <w:pPr>
        <w:spacing w:after="120" w:before="240"/>
      </w:pPr>
      <w:r>
        <w:rPr>
          <w:rFonts w:ascii="黑体" w:cs="黑体" w:eastAsia="黑体" w:hAnsi="黑体"/>
          <w:b/>
          <w:bCs/>
          <w:sz w:val="24"/>
          <w:szCs w:val="24"/>
        </w:rPr>
        <w:t xml:space="preserve">附录A  模型完整代码（model.py）</w:t>
      </w:r>
    </w:p>
    <w:p>
      <w:pPr>
        <w:spacing w:line="300" w:lineRule="exact"/>
        <w:ind w:left="360"/>
      </w:pPr>
      <w:r>
        <w:rPr>
          <w:rFonts w:ascii="Courier New" w:cs="Courier New" w:eastAsia="Courier New" w:hAnsi="Courier New"/>
          <w:sz w:val="18"/>
          <w:szCs w:val="18"/>
        </w:rPr>
        <w:t xml:space="preserve">import tensorflow as tf</w:t>
      </w:r>
    </w:p>
    <w:p>
      <w:pPr>
        <w:spacing w:line="300" w:lineRule="exact"/>
        <w:ind w:left="360"/>
      </w:pPr>
      <w:r>
        <w:rPr>
          <w:rFonts w:ascii="Courier New" w:cs="Courier New" w:eastAsia="Courier New" w:hAnsi="Courier New"/>
          <w:sz w:val="18"/>
          <w:szCs w:val="18"/>
        </w:rPr>
        <w:t xml:space="preserve">from tensorflow.keras.models import Model</w:t>
      </w:r>
    </w:p>
    <w:p>
      <w:pPr>
        <w:spacing w:line="300" w:lineRule="exact"/>
        <w:ind w:left="360"/>
      </w:pPr>
      <w:r>
        <w:rPr>
          <w:rFonts w:ascii="Courier New" w:cs="Courier New" w:eastAsia="Courier New" w:hAnsi="Courier New"/>
          <w:sz w:val="18"/>
          <w:szCs w:val="18"/>
        </w:rPr>
        <w:t xml:space="preserve">from tensorflow.keras.layers import (Input, Conv1D, MaxPooling1D,</w:t>
      </w:r>
    </w:p>
    <w:p>
      <w:pPr>
        <w:spacing w:line="300" w:lineRule="exact"/>
        <w:ind w:left="360"/>
      </w:pPr>
      <w:r>
        <w:rPr>
          <w:rFonts w:ascii="Courier New" w:cs="Courier New" w:eastAsia="Courier New" w:hAnsi="Courier New"/>
          <w:sz w:val="18"/>
          <w:szCs w:val="18"/>
        </w:rPr>
        <w:t xml:space="preserve">    LSTM, Dense, Attention, Flatten, Dropout)</w:t>
      </w:r>
    </w:p>
    <w:p>
      <w:pPr>
        <w:spacing w:line="300" w:lineRule="exact"/>
        <w:ind w:left="360"/>
      </w:pPr>
      <w:r>
        <w:rPr>
          <w:rFonts w:ascii="Courier New" w:cs="Courier New" w:eastAsia="Courier New" w:hAnsi="Courier New"/>
          <w:sz w:val="18"/>
          <w:szCs w:val="18"/>
        </w:rPr>
        <w:t xml:space="preserve"/>
      </w:r>
    </w:p>
    <w:p>
      <w:pPr>
        <w:spacing w:line="300" w:lineRule="exact"/>
        <w:ind w:left="360"/>
      </w:pPr>
      <w:r>
        <w:rPr>
          <w:rFonts w:ascii="Courier New" w:cs="Courier New" w:eastAsia="Courier New" w:hAnsi="Courier New"/>
          <w:sz w:val="18"/>
          <w:szCs w:val="18"/>
        </w:rPr>
        <w:t xml:space="preserve">def create_model(input_shape):</w:t>
      </w:r>
    </w:p>
    <w:p>
      <w:pPr>
        <w:spacing w:line="300" w:lineRule="exact"/>
        <w:ind w:left="360"/>
      </w:pPr>
      <w:r>
        <w:rPr>
          <w:rFonts w:ascii="Courier New" w:cs="Courier New" w:eastAsia="Courier New" w:hAnsi="Courier New"/>
          <w:sz w:val="18"/>
          <w:szCs w:val="18"/>
        </w:rPr>
        <w:t xml:space="preserve">    inputs = Input(shape=input_shape)</w:t>
      </w:r>
    </w:p>
    <w:p>
      <w:pPr>
        <w:spacing w:line="300" w:lineRule="exact"/>
        <w:ind w:left="360"/>
      </w:pPr>
      <w:r>
        <w:rPr>
          <w:rFonts w:ascii="Courier New" w:cs="Courier New" w:eastAsia="Courier New" w:hAnsi="Courier New"/>
          <w:sz w:val="18"/>
          <w:szCs w:val="18"/>
        </w:rPr>
        <w:t xml:space="preserve">    # CNN层 - 提取局部波动特征</w:t>
      </w:r>
    </w:p>
    <w:p>
      <w:pPr>
        <w:spacing w:line="300" w:lineRule="exact"/>
        <w:ind w:left="360"/>
      </w:pPr>
      <w:r>
        <w:rPr>
          <w:rFonts w:ascii="Courier New" w:cs="Courier New" w:eastAsia="Courier New" w:hAnsi="Courier New"/>
          <w:sz w:val="18"/>
          <w:szCs w:val="18"/>
        </w:rPr>
        <w:t xml:space="preserve">    x = Conv1D(64, kernel_size=3, activation="relu", padding="same")(inputs)</w:t>
      </w:r>
    </w:p>
    <w:p>
      <w:pPr>
        <w:spacing w:line="300" w:lineRule="exact"/>
        <w:ind w:left="360"/>
      </w:pPr>
      <w:r>
        <w:rPr>
          <w:rFonts w:ascii="Courier New" w:cs="Courier New" w:eastAsia="Courier New" w:hAnsi="Courier New"/>
          <w:sz w:val="18"/>
          <w:szCs w:val="18"/>
        </w:rPr>
        <w:t xml:space="preserve">    x = MaxPooling1D(pool_size=2)(x)</w:t>
      </w:r>
    </w:p>
    <w:p>
      <w:pPr>
        <w:spacing w:line="300" w:lineRule="exact"/>
        <w:ind w:left="360"/>
      </w:pPr>
      <w:r>
        <w:rPr>
          <w:rFonts w:ascii="Courier New" w:cs="Courier New" w:eastAsia="Courier New" w:hAnsi="Courier New"/>
          <w:sz w:val="18"/>
          <w:szCs w:val="18"/>
        </w:rPr>
        <w:t xml:space="preserve">    x = Conv1D(128, kernel_size=3, activation="relu", padding="same")(x)</w:t>
      </w:r>
    </w:p>
    <w:p>
      <w:pPr>
        <w:spacing w:line="300" w:lineRule="exact"/>
        <w:ind w:left="360"/>
      </w:pPr>
      <w:r>
        <w:rPr>
          <w:rFonts w:ascii="Courier New" w:cs="Courier New" w:eastAsia="Courier New" w:hAnsi="Courier New"/>
          <w:sz w:val="18"/>
          <w:szCs w:val="18"/>
        </w:rPr>
        <w:t xml:space="preserve">    x = MaxPooling1D(pool_size=2)(x)</w:t>
      </w:r>
    </w:p>
    <w:p>
      <w:pPr>
        <w:spacing w:line="300" w:lineRule="exact"/>
        <w:ind w:left="360"/>
      </w:pPr>
      <w:r>
        <w:rPr>
          <w:rFonts w:ascii="Courier New" w:cs="Courier New" w:eastAsia="Courier New" w:hAnsi="Courier New"/>
          <w:sz w:val="18"/>
          <w:szCs w:val="18"/>
        </w:rPr>
        <w:t xml:space="preserve">    # LSTM层 - 学习时序依赖</w:t>
      </w:r>
    </w:p>
    <w:p>
      <w:pPr>
        <w:spacing w:line="300" w:lineRule="exact"/>
        <w:ind w:left="360"/>
      </w:pPr>
      <w:r>
        <w:rPr>
          <w:rFonts w:ascii="Courier New" w:cs="Courier New" w:eastAsia="Courier New" w:hAnsi="Courier New"/>
          <w:sz w:val="18"/>
          <w:szCs w:val="18"/>
        </w:rPr>
        <w:t xml:space="preserve">    x = LSTM(128, return_sequences=True)(x)</w:t>
      </w:r>
    </w:p>
    <w:p>
      <w:pPr>
        <w:spacing w:line="300" w:lineRule="exact"/>
        <w:ind w:left="360"/>
      </w:pPr>
      <w:r>
        <w:rPr>
          <w:rFonts w:ascii="Courier New" w:cs="Courier New" w:eastAsia="Courier New" w:hAnsi="Courier New"/>
          <w:sz w:val="18"/>
          <w:szCs w:val="18"/>
        </w:rPr>
        <w:t xml:space="preserve">    x = LSTM(64, return_sequences=True)(x)</w:t>
      </w:r>
    </w:p>
    <w:p>
      <w:pPr>
        <w:spacing w:line="300" w:lineRule="exact"/>
        <w:ind w:left="360"/>
      </w:pPr>
      <w:r>
        <w:rPr>
          <w:rFonts w:ascii="Courier New" w:cs="Courier New" w:eastAsia="Courier New" w:hAnsi="Courier New"/>
          <w:sz w:val="18"/>
          <w:szCs w:val="18"/>
        </w:rPr>
        <w:t xml:space="preserve">    # Attention层 - 动态关注关键时间步</w:t>
      </w:r>
    </w:p>
    <w:p>
      <w:pPr>
        <w:spacing w:line="300" w:lineRule="exact"/>
        <w:ind w:left="360"/>
      </w:pPr>
      <w:r>
        <w:rPr>
          <w:rFonts w:ascii="Courier New" w:cs="Courier New" w:eastAsia="Courier New" w:hAnsi="Courier New"/>
          <w:sz w:val="18"/>
          <w:szCs w:val="18"/>
        </w:rPr>
        <w:t xml:space="preserve">    attn = Attention()([x, x])</w:t>
      </w:r>
    </w:p>
    <w:p>
      <w:pPr>
        <w:spacing w:line="300" w:lineRule="exact"/>
        <w:ind w:left="360"/>
      </w:pPr>
      <w:r>
        <w:rPr>
          <w:rFonts w:ascii="Courier New" w:cs="Courier New" w:eastAsia="Courier New" w:hAnsi="Courier New"/>
          <w:sz w:val="18"/>
          <w:szCs w:val="18"/>
        </w:rPr>
        <w:t xml:space="preserve">    x = Flatten()(attn)</w:t>
      </w:r>
    </w:p>
    <w:p>
      <w:pPr>
        <w:spacing w:line="300" w:lineRule="exact"/>
        <w:ind w:left="360"/>
      </w:pPr>
      <w:r>
        <w:rPr>
          <w:rFonts w:ascii="Courier New" w:cs="Courier New" w:eastAsia="Courier New" w:hAnsi="Courier New"/>
          <w:sz w:val="18"/>
          <w:szCs w:val="18"/>
        </w:rPr>
        <w:t xml:space="preserve">    # 分类层</w:t>
      </w:r>
    </w:p>
    <w:p>
      <w:pPr>
        <w:spacing w:line="300" w:lineRule="exact"/>
        <w:ind w:left="360"/>
      </w:pPr>
      <w:r>
        <w:rPr>
          <w:rFonts w:ascii="Courier New" w:cs="Courier New" w:eastAsia="Courier New" w:hAnsi="Courier New"/>
          <w:sz w:val="18"/>
          <w:szCs w:val="18"/>
        </w:rPr>
        <w:t xml:space="preserve">    x = Dense(64, activation="relu")(x)</w:t>
      </w:r>
    </w:p>
    <w:p>
      <w:pPr>
        <w:spacing w:line="300" w:lineRule="exact"/>
        <w:ind w:left="360"/>
      </w:pPr>
      <w:r>
        <w:rPr>
          <w:rFonts w:ascii="Courier New" w:cs="Courier New" w:eastAsia="Courier New" w:hAnsi="Courier New"/>
          <w:sz w:val="18"/>
          <w:szCs w:val="18"/>
        </w:rPr>
        <w:t xml:space="preserve">    x = Dropout(0.5)(x)</w:t>
      </w:r>
    </w:p>
    <w:p>
      <w:pPr>
        <w:spacing w:line="300" w:lineRule="exact"/>
        <w:ind w:left="360"/>
      </w:pPr>
      <w:r>
        <w:rPr>
          <w:rFonts w:ascii="Courier New" w:cs="Courier New" w:eastAsia="Courier New" w:hAnsi="Courier New"/>
          <w:sz w:val="18"/>
          <w:szCs w:val="18"/>
        </w:rPr>
        <w:t xml:space="preserve">    x = Dense(32, activation="relu")(x)</w:t>
      </w:r>
    </w:p>
    <w:p>
      <w:pPr>
        <w:spacing w:line="300" w:lineRule="exact"/>
        <w:ind w:left="360"/>
      </w:pPr>
      <w:r>
        <w:rPr>
          <w:rFonts w:ascii="Courier New" w:cs="Courier New" w:eastAsia="Courier New" w:hAnsi="Courier New"/>
          <w:sz w:val="18"/>
          <w:szCs w:val="18"/>
        </w:rPr>
        <w:t xml:space="preserve">    outputs = Dense(1, activation="sigmoid")(x)</w:t>
      </w:r>
    </w:p>
    <w:p>
      <w:pPr>
        <w:spacing w:line="300" w:lineRule="exact"/>
        <w:ind w:left="360"/>
      </w:pPr>
      <w:r>
        <w:rPr>
          <w:rFonts w:ascii="Courier New" w:cs="Courier New" w:eastAsia="Courier New" w:hAnsi="Courier New"/>
          <w:sz w:val="18"/>
          <w:szCs w:val="18"/>
        </w:rPr>
        <w:t xml:space="preserve">    model = Model(inputs=inputs, outputs=outputs)</w:t>
      </w:r>
    </w:p>
    <w:p>
      <w:pPr>
        <w:spacing w:line="300" w:lineRule="exact"/>
        <w:ind w:left="360"/>
      </w:pPr>
      <w:r>
        <w:rPr>
          <w:rFonts w:ascii="Courier New" w:cs="Courier New" w:eastAsia="Courier New" w:hAnsi="Courier New"/>
          <w:sz w:val="18"/>
          <w:szCs w:val="18"/>
        </w:rPr>
        <w:t xml:space="preserve">    model.compile(optimizer="adam",</w:t>
      </w:r>
    </w:p>
    <w:p>
      <w:pPr>
        <w:spacing w:line="300" w:lineRule="exact"/>
        <w:ind w:left="360"/>
      </w:pPr>
      <w:r>
        <w:rPr>
          <w:rFonts w:ascii="Courier New" w:cs="Courier New" w:eastAsia="Courier New" w:hAnsi="Courier New"/>
          <w:sz w:val="18"/>
          <w:szCs w:val="18"/>
        </w:rPr>
        <w:t xml:space="preserve">                  loss="binary_crossentropy",</w:t>
      </w:r>
    </w:p>
    <w:p>
      <w:pPr>
        <w:spacing w:line="300" w:lineRule="exact"/>
        <w:ind w:left="360"/>
      </w:pPr>
      <w:r>
        <w:rPr>
          <w:rFonts w:ascii="Courier New" w:cs="Courier New" w:eastAsia="Courier New" w:hAnsi="Courier New"/>
          <w:sz w:val="18"/>
          <w:szCs w:val="18"/>
        </w:rPr>
        <w:t xml:space="preserve">                  metrics=["accuracy"])</w:t>
      </w:r>
    </w:p>
    <w:p>
      <w:pPr>
        <w:spacing w:line="300" w:lineRule="exact"/>
        <w:ind w:left="360"/>
      </w:pPr>
      <w:r>
        <w:rPr>
          <w:rFonts w:ascii="Courier New" w:cs="Courier New" w:eastAsia="Courier New" w:hAnsi="Courier New"/>
          <w:sz w:val="18"/>
          <w:szCs w:val="18"/>
        </w:rPr>
        <w:t xml:space="preserve">    return model</w:t>
      </w:r>
    </w:p>
    <w:p>
      <w:pPr>
        <w:spacing w:line="300" w:lineRule="exact"/>
        <w:ind w:left="360"/>
      </w:pPr>
      <w:r>
        <w:rPr>
          <w:rFonts w:ascii="Courier New" w:cs="Courier New" w:eastAsia="Courier New" w:hAnsi="Courier New"/>
          <w:sz w:val="18"/>
          <w:szCs w:val="18"/>
        </w:rPr>
        <w:t xml:space="preserve"/>
      </w:r>
    </w:p>
    <w:p>
      <w:pPr>
        <w:spacing w:line="300" w:lineRule="exact"/>
        <w:ind w:left="360"/>
      </w:pPr>
      <w:r>
        <w:rPr>
          <w:rFonts w:ascii="Courier New" w:cs="Courier New" w:eastAsia="Courier New" w:hAnsi="Courier New"/>
          <w:sz w:val="18"/>
          <w:szCs w:val="18"/>
        </w:rPr>
        <w:t xml:space="preserve">def create_stock_model():</w:t>
      </w:r>
    </w:p>
    <w:p>
      <w:pPr>
        <w:spacing w:line="300" w:lineRule="exact"/>
        <w:ind w:left="360"/>
      </w:pPr>
      <w:r>
        <w:rPr>
          <w:rFonts w:ascii="Courier New" w:cs="Courier New" w:eastAsia="Courier New" w:hAnsi="Courier New"/>
          <w:sz w:val="18"/>
          <w:szCs w:val="18"/>
        </w:rPr>
        <w:t xml:space="preserve">    return create_model((30, 7))</w:t>
      </w:r>
    </w:p>
    <w:p>
      <w:pPr>
        <w:spacing w:line="480" w:lineRule="exact"/>
      </w:pPr>
      <w:r>
        <w:rPr>
          <w:rFonts w:ascii="宋体" w:cs="宋体" w:eastAsia="宋体" w:hAnsi="宋体"/>
          <w:sz w:val="24"/>
          <w:szCs w:val="24"/>
        </w:rPr>
        <w:t xml:space="preserve"/>
      </w:r>
    </w:p>
    <w:p>
      <w:pPr>
        <w:spacing w:after="120" w:before="240"/>
      </w:pPr>
      <w:r>
        <w:rPr>
          <w:rFonts w:ascii="黑体" w:cs="黑体" w:eastAsia="黑体" w:hAnsi="黑体"/>
          <w:b/>
          <w:bCs/>
          <w:sz w:val="24"/>
          <w:szCs w:val="24"/>
        </w:rPr>
        <w:t xml:space="preserve">附录B  需求与运行环境</w:t>
      </w:r>
    </w:p>
    <w:p>
      <w:pPr>
        <w:spacing w:line="300" w:lineRule="exact"/>
        <w:ind w:left="360"/>
      </w:pPr>
      <w:r>
        <w:rPr>
          <w:rFonts w:ascii="Courier New" w:cs="Courier New" w:eastAsia="Courier New" w:hAnsi="Courier New"/>
          <w:sz w:val="18"/>
          <w:szCs w:val="18"/>
        </w:rPr>
        <w:t xml:space="preserve">运行环境：Python 3.8+，建议使用 conda 虚拟环境。</w:t>
      </w:r>
    </w:p>
    <w:p>
      <w:pPr>
        <w:spacing w:line="300" w:lineRule="exact"/>
        <w:ind w:left="360"/>
      </w:pPr>
      <w:r>
        <w:rPr>
          <w:rFonts w:ascii="Courier New" w:cs="Courier New" w:eastAsia="Courier New" w:hAnsi="Courier New"/>
          <w:sz w:val="18"/>
          <w:szCs w:val="18"/>
        </w:rPr>
        <w:t xml:space="preserve">主要依赖（requirements.txt）：</w:t>
      </w:r>
    </w:p>
    <w:p>
      <w:pPr>
        <w:spacing w:line="300" w:lineRule="exact"/>
        <w:ind w:left="360"/>
      </w:pPr>
      <w:r>
        <w:rPr>
          <w:rFonts w:ascii="Courier New" w:cs="Courier New" w:eastAsia="Courier New" w:hAnsi="Courier New"/>
          <w:sz w:val="18"/>
          <w:szCs w:val="18"/>
        </w:rPr>
        <w:t xml:space="preserve">  tensorflow&gt;=2.8.0</w:t>
      </w:r>
    </w:p>
    <w:p>
      <w:pPr>
        <w:spacing w:line="300" w:lineRule="exact"/>
        <w:ind w:left="360"/>
      </w:pPr>
      <w:r>
        <w:rPr>
          <w:rFonts w:ascii="Courier New" w:cs="Courier New" w:eastAsia="Courier New" w:hAnsi="Courier New"/>
          <w:sz w:val="18"/>
          <w:szCs w:val="18"/>
        </w:rPr>
        <w:t xml:space="preserve">  pandas&gt;=1.3.0</w:t>
      </w:r>
    </w:p>
    <w:p>
      <w:pPr>
        <w:spacing w:line="300" w:lineRule="exact"/>
        <w:ind w:left="360"/>
      </w:pPr>
      <w:r>
        <w:rPr>
          <w:rFonts w:ascii="Courier New" w:cs="Courier New" w:eastAsia="Courier New" w:hAnsi="Courier New"/>
          <w:sz w:val="18"/>
          <w:szCs w:val="18"/>
        </w:rPr>
        <w:t xml:space="preserve">  numpy&gt;=1.21.0</w:t>
      </w:r>
    </w:p>
    <w:p>
      <w:pPr>
        <w:spacing w:line="300" w:lineRule="exact"/>
        <w:ind w:left="360"/>
      </w:pPr>
      <w:r>
        <w:rPr>
          <w:rFonts w:ascii="Courier New" w:cs="Courier New" w:eastAsia="Courier New" w:hAnsi="Courier New"/>
          <w:sz w:val="18"/>
          <w:szCs w:val="18"/>
        </w:rPr>
        <w:t xml:space="preserve">  scikit-learn&gt;=0.24.0</w:t>
      </w:r>
    </w:p>
    <w:p>
      <w:pPr>
        <w:spacing w:line="300" w:lineRule="exact"/>
        <w:ind w:left="360"/>
      </w:pPr>
      <w:r>
        <w:rPr>
          <w:rFonts w:ascii="Courier New" w:cs="Courier New" w:eastAsia="Courier New" w:hAnsi="Courier New"/>
          <w:sz w:val="18"/>
          <w:szCs w:val="18"/>
        </w:rPr>
        <w:t xml:space="preserve">  akshare&gt;=1.7.0</w:t>
      </w:r>
    </w:p>
    <w:p>
      <w:pPr>
        <w:spacing w:line="300" w:lineRule="exact"/>
        <w:ind w:left="360"/>
      </w:pPr>
      <w:r>
        <w:rPr>
          <w:rFonts w:ascii="Courier New" w:cs="Courier New" w:eastAsia="Courier New" w:hAnsi="Courier New"/>
          <w:sz w:val="18"/>
          <w:szCs w:val="18"/>
        </w:rPr>
        <w:t xml:space="preserve">  streamlit&gt;=1.10.0</w:t>
      </w:r>
    </w:p>
    <w:p>
      <w:pPr>
        <w:spacing w:line="300" w:lineRule="exact"/>
        <w:ind w:left="360"/>
      </w:pPr>
      <w:r>
        <w:rPr>
          <w:rFonts w:ascii="Courier New" w:cs="Courier New" w:eastAsia="Courier New" w:hAnsi="Courier New"/>
          <w:sz w:val="18"/>
          <w:szCs w:val="18"/>
        </w:rPr>
        <w:t xml:space="preserve">  plotly&gt;=5.5.0</w:t>
      </w:r>
    </w:p>
    <w:p>
      <w:pPr>
        <w:spacing w:line="300" w:lineRule="exact"/>
        <w:ind w:left="360"/>
      </w:pPr>
      <w:r>
        <w:rPr>
          <w:rFonts w:ascii="Courier New" w:cs="Courier New" w:eastAsia="Courier New" w:hAnsi="Courier New"/>
          <w:sz w:val="18"/>
          <w:szCs w:val="18"/>
        </w:rPr>
        <w:t xml:space="preserve">  joblib&gt;=1.1.0</w:t>
      </w:r>
    </w:p>
    <w:p>
      <w:pPr>
        <w:spacing w:line="300" w:lineRule="exact"/>
        <w:ind w:left="360"/>
      </w:pPr>
      <w:r>
        <w:rPr>
          <w:rFonts w:ascii="Courier New" w:cs="Courier New" w:eastAsia="Courier New" w:hAnsi="Courier New"/>
          <w:sz w:val="18"/>
          <w:szCs w:val="18"/>
        </w:rPr>
        <w:t xml:space="preserve"/>
      </w:r>
    </w:p>
    <w:p>
      <w:pPr>
        <w:spacing w:line="300" w:lineRule="exact"/>
        <w:ind w:left="360"/>
      </w:pPr>
      <w:r>
        <w:rPr>
          <w:rFonts w:ascii="Courier New" w:cs="Courier New" w:eastAsia="Courier New" w:hAnsi="Courier New"/>
          <w:sz w:val="18"/>
          <w:szCs w:val="18"/>
        </w:rPr>
        <w:t xml:space="preserve">运行命令：</w:t>
      </w:r>
    </w:p>
    <w:p>
      <w:pPr>
        <w:spacing w:line="300" w:lineRule="exact"/>
        <w:ind w:left="360"/>
      </w:pPr>
      <w:r>
        <w:rPr>
          <w:rFonts w:ascii="Courier New" w:cs="Courier New" w:eastAsia="Courier New" w:hAnsi="Courier New"/>
          <w:sz w:val="18"/>
          <w:szCs w:val="18"/>
        </w:rPr>
        <w:t xml:space="preserve">  # 1. 下载数据</w:t>
      </w:r>
    </w:p>
    <w:p>
      <w:pPr>
        <w:spacing w:line="300" w:lineRule="exact"/>
        <w:ind w:left="360"/>
      </w:pPr>
      <w:r>
        <w:rPr>
          <w:rFonts w:ascii="Courier New" w:cs="Courier New" w:eastAsia="Courier New" w:hAnsi="Courier New"/>
          <w:sz w:val="18"/>
          <w:szCs w:val="18"/>
        </w:rPr>
        <w:t xml:space="preserve">  python data_download.py</w:t>
      </w:r>
    </w:p>
    <w:p>
      <w:pPr>
        <w:spacing w:line="300" w:lineRule="exact"/>
        <w:ind w:left="360"/>
      </w:pPr>
      <w:r>
        <w:rPr>
          <w:rFonts w:ascii="Courier New" w:cs="Courier New" w:eastAsia="Courier New" w:hAnsi="Courier New"/>
          <w:sz w:val="18"/>
          <w:szCs w:val="18"/>
        </w:rPr>
        <w:t xml:space="preserve">  # 2. 处理数据</w:t>
      </w:r>
    </w:p>
    <w:p>
      <w:pPr>
        <w:spacing w:line="300" w:lineRule="exact"/>
        <w:ind w:left="360"/>
      </w:pPr>
      <w:r>
        <w:rPr>
          <w:rFonts w:ascii="Courier New" w:cs="Courier New" w:eastAsia="Courier New" w:hAnsi="Courier New"/>
          <w:sz w:val="18"/>
          <w:szCs w:val="18"/>
        </w:rPr>
        <w:t xml:space="preserve">  python data_process.py</w:t>
      </w:r>
    </w:p>
    <w:p>
      <w:pPr>
        <w:spacing w:line="300" w:lineRule="exact"/>
        <w:ind w:left="360"/>
      </w:pPr>
      <w:r>
        <w:rPr>
          <w:rFonts w:ascii="Courier New" w:cs="Courier New" w:eastAsia="Courier New" w:hAnsi="Courier New"/>
          <w:sz w:val="18"/>
          <w:szCs w:val="18"/>
        </w:rPr>
        <w:t xml:space="preserve">  # 3. 训练模型</w:t>
      </w:r>
    </w:p>
    <w:p>
      <w:pPr>
        <w:spacing w:line="300" w:lineRule="exact"/>
        <w:ind w:left="360"/>
      </w:pPr>
      <w:r>
        <w:rPr>
          <w:rFonts w:ascii="Courier New" w:cs="Courier New" w:eastAsia="Courier New" w:hAnsi="Courier New"/>
          <w:sz w:val="18"/>
          <w:szCs w:val="18"/>
        </w:rPr>
        <w:t xml:space="preserve">  python train.py</w:t>
      </w:r>
    </w:p>
    <w:p>
      <w:pPr>
        <w:spacing w:line="300" w:lineRule="exact"/>
        <w:ind w:left="360"/>
      </w:pPr>
      <w:r>
        <w:rPr>
          <w:rFonts w:ascii="Courier New" w:cs="Courier New" w:eastAsia="Courier New" w:hAnsi="Courier New"/>
          <w:sz w:val="18"/>
          <w:szCs w:val="18"/>
        </w:rPr>
        <w:t xml:space="preserve">  # 4. 启动Web界面</w:t>
      </w:r>
    </w:p>
    <w:p>
      <w:pPr>
        <w:spacing w:line="300" w:lineRule="exact"/>
        <w:ind w:left="360"/>
      </w:pPr>
      <w:r>
        <w:rPr>
          <w:rFonts w:ascii="Courier New" w:cs="Courier New" w:eastAsia="Courier New" w:hAnsi="Courier New"/>
          <w:sz w:val="18"/>
          <w:szCs w:val="18"/>
        </w:rPr>
        <w:t xml:space="preserve">  streamlit run app.py</w:t>
      </w:r>
    </w:p>
    <w:sectPr>
      <w:footerReference w:type="default" r:id="rId7"/>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黑体" w:cs="黑体" w:eastAsia="黑体" w:hAnsi="黑体"/>
      <w:b/>
      <w:bCs/>
      <w:sz w:val="30"/>
      <w:szCs w:val="30"/>
    </w:rPr>
  </w:style>
  <w:style w:type="paragraph" w:styleId="Heading2">
    <w:name w:val="Heading 2"/>
    <w:basedOn w:val="Normal"/>
    <w:next w:val="Normal"/>
    <w:qFormat/>
    <w:pPr>
      <w:spacing w:after="180" w:before="240"/>
      <w:outlineLvl w:val="1"/>
    </w:pPr>
    <w:rPr>
      <w:rFonts w:ascii="黑体" w:cs="黑体" w:eastAsia="黑体" w:hAnsi="黑体"/>
      <w:b/>
      <w:bCs/>
      <w:sz w:val="28"/>
      <w:szCs w:val="28"/>
    </w:rPr>
  </w:style>
  <w:style w:type="paragraph" w:styleId="Heading3">
    <w:name w:val="Heading 3"/>
    <w:basedOn w:val="Normal"/>
    <w:next w:val="Normal"/>
    <w:qFormat/>
    <w:pPr>
      <w:spacing w:after="120" w:before="200"/>
      <w:outlineLvl w:val="2"/>
    </w:pPr>
    <w:rPr>
      <w:rFonts w:ascii="宋体" w:cs="宋体" w:eastAsia="宋体" w:hAnsi="宋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df4b58ec43b532d73287545c690509f0766140.png"/><Relationship Id="rId9" Type="http://schemas.openxmlformats.org/officeDocument/2006/relationships/image" Target="media/e83e124e9cddaefe64d9e3bbd4ad1ed0f556336f.png"/><Relationship Id="rId10" Type="http://schemas.openxmlformats.org/officeDocument/2006/relationships/image" Target="media/4025abea7225da0641c529c68ddcb50ecc6e8462.png"/><Relationship Id="rId11" Type="http://schemas.openxmlformats.org/officeDocument/2006/relationships/image" Target="media/e08bfdd4e3be179f7504d737abd1897736901ffe.png"/><Relationship Id="rId12" Type="http://schemas.openxmlformats.org/officeDocument/2006/relationships/image" Target="media/e87774edeae3e327bf635aab8ec664eff7206a9f.png"/><Relationship Id="rId13" Type="http://schemas.openxmlformats.org/officeDocument/2006/relationships/image" Target="media/260d72ae05317b49004955fb082c5e0d4f0c2634.png"/><Relationship Id="rId14" Type="http://schemas.openxmlformats.org/officeDocument/2006/relationships/image" Target="media/4872ac41f8eee607332cdab7f8f44426acfa4a49.png"/><Relationship Id="rId15" Type="http://schemas.openxmlformats.org/officeDocument/2006/relationships/image" Target="media/6a70b66784e71a4dcdb9a16f6cd41185d1ff1555.png"/><Relationship Id="rId16" Type="http://schemas.openxmlformats.org/officeDocument/2006/relationships/image" Target="media/8e73bf5732f8320c6a0ec26862bd4abfe255294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2026-04-26T15:29:37.148Z</dcterms:created>
  <dcterms:modified xsi:type="dcterms:W3CDTF">2026-04-26T15:29:37.148Z</dcterms:modified>
</cp:coreProperties>
</file>

<file path=docProps/custom.xml><?xml version="1.0" encoding="utf-8"?>
<Properties xmlns="http://schemas.openxmlformats.org/officeDocument/2006/custom-properties" xmlns:vt="http://schemas.openxmlformats.org/officeDocument/2006/docPropsVTypes"/>
</file>