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720"/>
        <w:jc w:val="center"/>
      </w:pPr>
      <w:r>
        <w:drawing>
          <wp:inline distT="0" distB="0" distL="0" distR="0">
            <wp:extent cx="24669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66975" cy="619125"/>
                    </a:xfrm>
                    <a:prstGeom prst="rect">
                      <a:avLst/>
                    </a:prstGeom>
                  </pic:spPr>
                </pic:pic>
              </a:graphicData>
            </a:graphic>
          </wp:inline>
        </w:drawing>
      </w:r>
    </w:p>
    <w:p>
      <w:pPr>
        <w:spacing w:after="720" w:before="0"/>
        <w:jc w:val="center"/>
      </w:pPr>
      <w:r>
        <w:rPr>
          <w:rFonts w:ascii="黑体" w:cs="黑体" w:eastAsia="黑体" w:hAnsi="黑体"/>
          <w:b/>
          <w:bCs/>
          <w:sz w:val="44"/>
          <w:szCs w:val="44"/>
        </w:rPr>
        <w:t xml:space="preserve">本科毕业论文（设计）</w:t>
      </w:r>
    </w:p>
    <w:p>
      <w:pPr>
        <w:spacing w:after="60" w:before="180" w:line="460" w:lineRule="exact"/>
        <w:ind w:left="1200" w:firstLine="0"/>
        <w:jc w:val="left"/>
      </w:pPr>
      <w:r>
        <w:rPr>
          <w:rFonts w:ascii="宋体" w:cs="宋体" w:eastAsia="宋体" w:hAnsi="宋体"/>
          <w:b w:val="false"/>
          <w:bCs w:val="false"/>
          <w:sz w:val="30"/>
          <w:szCs w:val="30"/>
        </w:rPr>
        <w:t xml:space="preserve">论文题目：</w:t>
      </w:r>
      <w:r>
        <w:rPr>
          <w:rFonts w:ascii="宋体" w:cs="宋体" w:eastAsia="宋体" w:hAnsi="宋体"/>
          <w:sz w:val="30"/>
          <w:szCs w:val="30"/>
        </w:rPr>
        <w:t xml:space="preserve">基于深度学习的A股市场风险预测系统设计与实现</w:t>
      </w:r>
    </w:p>
    <w:p>
      <w:pPr>
        <w:spacing w:after="60" w:before="180" w:line="460" w:lineRule="exact"/>
        <w:ind w:left="1200" w:firstLine="0"/>
        <w:jc w:val="left"/>
      </w:pPr>
      <w:r>
        <w:rPr>
          <w:rFonts w:ascii="宋体" w:cs="宋体" w:eastAsia="宋体" w:hAnsi="宋体"/>
          <w:b w:val="false"/>
          <w:bCs w:val="false"/>
          <w:sz w:val="30"/>
          <w:szCs w:val="30"/>
        </w:rPr>
        <w:t xml:space="preserve">学生姓名：</w:t>
      </w:r>
      <w:r>
        <w:rPr>
          <w:rFonts w:ascii="宋体" w:cs="宋体" w:eastAsia="宋体" w:hAnsi="宋体"/>
          <w:sz w:val="30"/>
          <w:szCs w:val="30"/>
        </w:rPr>
        <w:t xml:space="preserve"/>
      </w:r>
    </w:p>
    <w:p>
      <w:pPr>
        <w:spacing w:after="60" w:before="180" w:line="460" w:lineRule="exact"/>
        <w:ind w:left="1200" w:firstLine="0"/>
        <w:jc w:val="left"/>
      </w:pPr>
      <w:r>
        <w:rPr>
          <w:rFonts w:ascii="宋体" w:cs="宋体" w:eastAsia="宋体" w:hAnsi="宋体"/>
          <w:b w:val="false"/>
          <w:bCs w:val="false"/>
          <w:sz w:val="30"/>
          <w:szCs w:val="30"/>
        </w:rPr>
        <w:t xml:space="preserve">学    号：</w:t>
      </w:r>
      <w:r>
        <w:rPr>
          <w:rFonts w:ascii="宋体" w:cs="宋体" w:eastAsia="宋体" w:hAnsi="宋体"/>
          <w:sz w:val="30"/>
          <w:szCs w:val="30"/>
        </w:rPr>
        <w:t xml:space="preserve"/>
      </w:r>
    </w:p>
    <w:p>
      <w:pPr>
        <w:spacing w:after="60" w:before="180" w:line="460" w:lineRule="exact"/>
        <w:ind w:left="1200" w:firstLine="0"/>
        <w:jc w:val="left"/>
      </w:pPr>
      <w:r>
        <w:rPr>
          <w:rFonts w:ascii="宋体" w:cs="宋体" w:eastAsia="宋体" w:hAnsi="宋体"/>
          <w:b w:val="false"/>
          <w:bCs w:val="false"/>
          <w:sz w:val="30"/>
          <w:szCs w:val="30"/>
        </w:rPr>
        <w:t xml:space="preserve">专    业：</w:t>
      </w:r>
      <w:r>
        <w:rPr>
          <w:rFonts w:ascii="宋体" w:cs="宋体" w:eastAsia="宋体" w:hAnsi="宋体"/>
          <w:sz w:val="30"/>
          <w:szCs w:val="30"/>
        </w:rPr>
        <w:t xml:space="preserve"/>
      </w:r>
    </w:p>
    <w:p>
      <w:pPr>
        <w:spacing w:after="60" w:before="180" w:line="460" w:lineRule="exact"/>
        <w:ind w:left="1200" w:firstLine="0"/>
        <w:jc w:val="left"/>
      </w:pPr>
      <w:r>
        <w:rPr>
          <w:rFonts w:ascii="宋体" w:cs="宋体" w:eastAsia="宋体" w:hAnsi="宋体"/>
          <w:b w:val="false"/>
          <w:bCs w:val="false"/>
          <w:sz w:val="30"/>
          <w:szCs w:val="30"/>
        </w:rPr>
        <w:t xml:space="preserve">班    级：</w:t>
      </w:r>
      <w:r>
        <w:rPr>
          <w:rFonts w:ascii="宋体" w:cs="宋体" w:eastAsia="宋体" w:hAnsi="宋体"/>
          <w:sz w:val="30"/>
          <w:szCs w:val="30"/>
        </w:rPr>
        <w:t xml:space="preserve"/>
      </w:r>
    </w:p>
    <w:p>
      <w:pPr>
        <w:spacing w:after="60" w:before="180" w:line="460" w:lineRule="exact"/>
        <w:ind w:left="1200" w:firstLine="0"/>
        <w:jc w:val="left"/>
      </w:pPr>
      <w:r>
        <w:rPr>
          <w:rFonts w:ascii="宋体" w:cs="宋体" w:eastAsia="宋体" w:hAnsi="宋体"/>
          <w:b w:val="false"/>
          <w:bCs w:val="false"/>
          <w:sz w:val="30"/>
          <w:szCs w:val="30"/>
        </w:rPr>
        <w:t xml:space="preserve">指导教师：</w:t>
      </w:r>
      <w:r>
        <w:rPr>
          <w:rFonts w:ascii="宋体" w:cs="宋体" w:eastAsia="宋体" w:hAnsi="宋体"/>
          <w:sz w:val="30"/>
          <w:szCs w:val="30"/>
        </w:rPr>
        <w:t xml:space="preserve"/>
      </w:r>
    </w:p>
    <w:p>
      <w:pPr>
        <w:spacing w:after="60" w:before="180" w:line="460" w:lineRule="exact"/>
        <w:ind w:left="1200" w:firstLine="0"/>
        <w:jc w:val="left"/>
      </w:pPr>
      <w:r>
        <w:rPr>
          <w:rFonts w:ascii="宋体" w:cs="宋体" w:eastAsia="宋体" w:hAnsi="宋体"/>
          <w:b w:val="false"/>
          <w:bCs w:val="false"/>
          <w:sz w:val="30"/>
          <w:szCs w:val="30"/>
        </w:rPr>
        <w:t xml:space="preserve">完成日期：</w:t>
      </w:r>
      <w:r>
        <w:rPr>
          <w:rFonts w:ascii="宋体" w:cs="宋体" w:eastAsia="宋体" w:hAnsi="宋体"/>
          <w:sz w:val="30"/>
          <w:szCs w:val="30"/>
        </w:rPr>
        <w:t xml:space="preserve">     年     月     日</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before="600"/>
        <w:jc w:val="center"/>
      </w:pPr>
      <w:r>
        <w:rPr>
          <w:rFonts w:ascii="宋体" w:cs="宋体" w:eastAsia="宋体" w:hAnsi="宋体"/>
          <w:b/>
          <w:bCs/>
          <w:sz w:val="30"/>
          <w:szCs w:val="30"/>
        </w:rPr>
        <w:t xml:space="preserve">西安财经大学</w:t>
      </w:r>
    </w:p>
    <w:p>
      <w:r>
        <w:br w:type="page"/>
      </w:r>
    </w:p>
    <w:p>
      <w:pPr>
        <w:spacing w:after="480" w:before="720" w:line="400" w:lineRule="exact"/>
        <w:jc w:val="center"/>
      </w:pPr>
      <w:r>
        <w:rPr>
          <w:rFonts w:ascii="宋体" w:cs="宋体" w:eastAsia="宋体" w:hAnsi="宋体"/>
          <w:b/>
          <w:bCs/>
          <w:sz w:val="28"/>
          <w:szCs w:val="28"/>
        </w:rPr>
        <w:t xml:space="preserve">西安财经大学本科毕业论文（设计）独创性及知识产权声明</w:t>
      </w:r>
    </w:p>
    <w:p>
      <w:pPr>
        <w:spacing w:after="0" w:before="0" w:line="400" w:lineRule="exact"/>
        <w:ind w:firstLine="480"/>
        <w:jc w:val="both"/>
      </w:pPr>
      <w:r>
        <w:rPr>
          <w:rFonts w:ascii="宋体" w:cs="宋体" w:eastAsia="宋体" w:hAnsi="宋体"/>
          <w:b w:val="false"/>
          <w:bCs w:val="false"/>
          <w:i w:val="false"/>
          <w:iCs w:val="false"/>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本毕业论文成果归西安财经大学所有。</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特此声明</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after="60" w:before="120" w:line="400" w:lineRule="exact"/>
        <w:ind w:left="0" w:firstLine="0"/>
      </w:pPr>
      <w:r>
        <w:rPr>
          <w:rFonts w:ascii="宋体" w:cs="宋体" w:eastAsia="宋体" w:hAnsi="宋体"/>
          <w:sz w:val="24"/>
          <w:szCs w:val="24"/>
        </w:rPr>
        <w:t xml:space="preserve">毕业论文作者签名（印章）：                   签名日期：      年     月     日</w:t>
      </w:r>
    </w:p>
    <w:p>
      <w:r>
        <w:br w:type="page"/>
      </w:r>
    </w:p>
    <w:p>
      <w:pPr>
        <w:spacing w:after="360" w:before="360" w:line="400" w:lineRule="exact"/>
        <w:jc w:val="center"/>
      </w:pPr>
      <w:r>
        <w:rPr>
          <w:rFonts w:ascii="黑体" w:cs="黑体" w:eastAsia="黑体" w:hAnsi="黑体"/>
          <w:b/>
          <w:bCs/>
          <w:sz w:val="30"/>
          <w:szCs w:val="30"/>
        </w:rPr>
        <w:t xml:space="preserve">基于深度学习的A股市场风险预测系统设计与实现</w:t>
      </w:r>
    </w:p>
    <w:p>
      <w:pPr>
        <w:spacing w:after="360" w:before="0" w:line="400" w:lineRule="exact"/>
        <w:jc w:val="center"/>
      </w:pPr>
      <w:r>
        <w:rPr>
          <w:rFonts w:ascii="黑体" w:cs="黑体" w:eastAsia="黑体" w:hAnsi="黑体"/>
          <w:b/>
          <w:bCs/>
          <w:sz w:val="30"/>
          <w:szCs w:val="30"/>
        </w:rPr>
        <w:t xml:space="preserve">摘  要</w:t>
      </w:r>
    </w:p>
    <w:p>
      <w:pPr>
        <w:spacing w:after="0" w:before="0" w:line="400" w:lineRule="exact"/>
        <w:ind w:firstLine="480"/>
        <w:jc w:val="both"/>
      </w:pPr>
      <w:r>
        <w:rPr>
          <w:rFonts w:ascii="宋体" w:cs="宋体" w:eastAsia="宋体" w:hAnsi="宋体"/>
          <w:b w:val="false"/>
          <w:bCs w:val="false"/>
          <w:i w:val="false"/>
          <w:iCs w:val="false"/>
          <w:sz w:val="24"/>
          <w:szCs w:val="24"/>
        </w:rPr>
        <w:t xml:space="preserve">金融市场风险预测是量化投资与金融科技领域的核心研究问题之一。随着中国A股市场规模的持续扩张，上市公司数量已超过5000家，市场总市值突破80万亿元，各类投资者群体对科学有效的风险管理工具需求日益迫切。传统统计技术方法（如移动平均线、MACD、布林带等）在一定程度上辅助了投资决策，但其本质仍局限于对历史价格的线性描述，难以捕捉时间序列中的非线性依赖关系与复杂波动模式，预测精度受到根本性限制。</w:t>
      </w:r>
    </w:p>
    <w:p>
      <w:pPr>
        <w:spacing w:after="0" w:before="0" w:line="400" w:lineRule="exact"/>
        <w:ind w:firstLine="480"/>
        <w:jc w:val="both"/>
      </w:pPr>
      <w:r>
        <w:rPr>
          <w:rFonts w:ascii="宋体" w:cs="宋体" w:eastAsia="宋体" w:hAnsi="宋体"/>
          <w:b w:val="false"/>
          <w:bCs w:val="false"/>
          <w:i w:val="false"/>
          <w:iCs w:val="false"/>
          <w:sz w:val="24"/>
          <w:szCs w:val="24"/>
        </w:rPr>
        <w:t xml:space="preserve">本文提出并实现了一种基于CNN-LSTM-Attention混合神经网络的A股市场风险预测系统，以"次日大跌"（收益率低于-1.5%）作为风险事件进行二分类预测。在模型设计层面，采用一维卷积神经网络（Conv1D）从原始价格序列中提取局部短期波动特征，双层长短期记忆网络（LSTM）学习价格序列的长程时序依赖关系，注意力机制（Attention）对时间窗口内各历史时间步进行动态加权，自动聚焦对预测贡献最大的关键时刻，三者协同形成层次化特征学习流程。模型输入为30个交易日的7维特征向量，涵盖收盘价、开盘价、最高价、最低价、5日均线、20日均线及20日波动率等基础技术特征。针对风险事件样本稀少（约占18%）的类别不平衡问题，引入了动态类别权重策略，结合早停机制与Dropout正则化确保模型泛化能力。</w:t>
      </w:r>
    </w:p>
    <w:p>
      <w:pPr>
        <w:spacing w:after="0" w:before="0" w:line="400" w:lineRule="exact"/>
        <w:ind w:firstLine="480"/>
        <w:jc w:val="both"/>
      </w:pPr>
      <w:r>
        <w:rPr>
          <w:rFonts w:ascii="宋体" w:cs="宋体" w:eastAsia="宋体" w:hAnsi="宋体"/>
          <w:b w:val="false"/>
          <w:bCs w:val="false"/>
          <w:i w:val="false"/>
          <w:iCs w:val="false"/>
          <w:sz w:val="24"/>
          <w:szCs w:val="24"/>
        </w:rPr>
        <w:t xml:space="preserve">在工程实现层面，基于Python + TensorFlow 2.x + Streamlit技术栈开发了完整的交互式风险预测Web系统，集成数据自动采集、数据预处理、模型训练与推理、可视化展示等全链路功能，支持对沪深300指数、上证指数、深证成指、创业板指及黄金等多个市场标的的风险预测。实验结果表明，CNN-LSTM-Attention模型在测试集上的准确率达到92.00%，风险召回率达到80.56%，F1分数为78.38%，分别优于单纯LSTM（准确率78%、召回率68%）、GRU（80%/71%）及CNN-LSTM（83%/76%）等基线模型。消融实验定量验证了CNN、LSTM、Attention三个组件对最终性能的正向贡献，混合架构的合理性得到充分验证。</w:t>
      </w:r>
    </w:p>
    <w:p>
      <w:pPr>
        <w:spacing w:line="400" w:lineRule="exact"/>
      </w:pPr>
      <w:r>
        <w:rPr>
          <w:rFonts w:ascii="宋体" w:cs="宋体" w:eastAsia="宋体" w:hAnsi="宋体"/>
          <w:sz w:val="24"/>
          <w:szCs w:val="24"/>
        </w:rPr>
        <w:t xml:space="preserve"/>
      </w:r>
    </w:p>
    <w:p>
      <w:pPr>
        <w:spacing w:after="0" w:before="0" w:line="400" w:lineRule="exact"/>
        <w:ind/>
        <w:jc w:val="both"/>
      </w:pPr>
      <w:r>
        <w:rPr>
          <w:rFonts w:ascii="宋体" w:cs="宋体" w:eastAsia="宋体" w:hAnsi="宋体"/>
          <w:b/>
          <w:bCs/>
          <w:sz w:val="24"/>
          <w:szCs w:val="24"/>
        </w:rPr>
        <w:t xml:space="preserve">关键词：</w:t>
      </w:r>
      <w:r>
        <w:rPr>
          <w:rFonts w:ascii="宋体" w:cs="宋体" w:eastAsia="宋体" w:hAnsi="宋体"/>
          <w:sz w:val="24"/>
          <w:szCs w:val="24"/>
        </w:rPr>
        <w:t xml:space="preserve">深度学习；A股市场；风险预测；CNN-LSTM-Attention；时间序列分类</w:t>
      </w:r>
    </w:p>
    <w:p>
      <w:r>
        <w:br w:type="page"/>
      </w:r>
    </w:p>
    <w:p>
      <w:pPr>
        <w:spacing w:after="360" w:before="360" w:line="400" w:lineRule="exact"/>
        <w:jc w:val="center"/>
      </w:pPr>
      <w:r>
        <w:rPr>
          <w:rFonts w:ascii="Times New Roman" w:cs="Times New Roman" w:eastAsia="Times New Roman" w:hAnsi="Times New Roman"/>
          <w:b/>
          <w:bCs/>
          <w:sz w:val="30"/>
          <w:szCs w:val="30"/>
        </w:rPr>
        <w:t xml:space="preserve">Design and Implementation of A-Share Market Risk Prediction System Based on Deep Learning</w:t>
      </w:r>
    </w:p>
    <w:p>
      <w:pPr>
        <w:spacing w:after="360" w:before="0" w:line="400" w:lineRule="exact"/>
        <w:jc w:val="center"/>
      </w:pPr>
      <w:r>
        <w:rPr>
          <w:rFonts w:ascii="Times New Roman" w:cs="Times New Roman" w:eastAsia="Times New Roman" w:hAnsi="Times New Roman"/>
          <w:b/>
          <w:bCs/>
          <w:sz w:val="30"/>
          <w:szCs w:val="30"/>
        </w:rPr>
        <w:t xml:space="preserve">Abstract</w:t>
      </w:r>
    </w:p>
    <w:p>
      <w:pPr>
        <w:spacing w:line="400" w:lineRule="exact"/>
        <w:ind w:firstLine="480"/>
        <w:jc w:val="both"/>
      </w:pPr>
      <w:r>
        <w:rPr>
          <w:rFonts w:ascii="Times New Roman" w:cs="Times New Roman" w:eastAsia="Times New Roman" w:hAnsi="Times New Roman"/>
          <w:sz w:val="24"/>
          <w:szCs w:val="24"/>
        </w:rPr>
        <w:t xml:space="preserve">Financial market risk prediction is a core research problem in quantitative investment and financial technology. With the continuous expansion of China's A-share market, the number of listed companies has exceeded 5,000 and the total market capitalization has surpassed 80 trillion yuan, making the demand for scientific and effective risk management tools increasingly urgent. Traditional statistical methods based on technical indicators are fundamentally limited to linear descriptions of historical price data, unable to capture nonlinear dependencies and complex volatility patterns in time series.</w:t>
      </w:r>
    </w:p>
    <w:p>
      <w:pPr>
        <w:spacing w:line="400" w:lineRule="exact"/>
        <w:ind w:firstLine="480"/>
        <w:jc w:val="both"/>
      </w:pPr>
      <w:r>
        <w:rPr>
          <w:rFonts w:ascii="Times New Roman" w:cs="Times New Roman" w:eastAsia="Times New Roman" w:hAnsi="Times New Roman"/>
          <w:sz w:val="24"/>
          <w:szCs w:val="24"/>
        </w:rPr>
        <w:t xml:space="preserve">This paper proposes and implements a complete A-share market risk prediction system based on a CNN-LSTM-Attention hybrid neural network. The system targets the binary classification of next-day crash risk (return rate below -1.5%). In model design, one-dimensional Convolutional Neural Networks (Conv1D) extract local short-term volatility features, dual-layer Long Short-Term Memory (LSTM) networks capture long-range temporal dependencies, and an Attention mechanism dynamically weights each historical time step to automatically focus on the most informative moments. The input consists of 30-day windows of 7-dimensional feature vectors. Class imbalance is addressed through dynamic class weighting, early stopping, and Dropout regularization.</w:t>
      </w:r>
    </w:p>
    <w:p>
      <w:pPr>
        <w:spacing w:line="400" w:lineRule="exact"/>
        <w:ind w:firstLine="480"/>
        <w:jc w:val="both"/>
      </w:pPr>
      <w:r>
        <w:rPr>
          <w:rFonts w:ascii="Times New Roman" w:cs="Times New Roman" w:eastAsia="Times New Roman" w:hAnsi="Times New Roman"/>
          <w:sz w:val="24"/>
          <w:szCs w:val="24"/>
        </w:rPr>
        <w:t xml:space="preserve">On the engineering side, a complete interactive risk prediction web system is developed using Python + TensorFlow 2.x + Streamlit, supporting real-time risk prediction for multiple market targets. Experiments show that the CNN-LSTM-Attention model achieves 92.00% accuracy, 80.56% recall, and 78.38% F1 score on the test set, outperforming baselines including LSTM (78%/68%), GRU (80%/71%), and CNN-LSTM (83%/76%). Ablation experiments quantitatively verify the positive contribution of each component.</w:t>
      </w:r>
    </w:p>
    <w:p>
      <w:pPr>
        <w:spacing w:line="400" w:lineRule="exact"/>
      </w:pPr>
      <w:r>
        <w:rPr>
          <w:rFonts w:ascii="宋体" w:cs="宋体" w:eastAsia="宋体" w:hAnsi="宋体"/>
          <w:sz w:val="24"/>
          <w:szCs w:val="24"/>
        </w:rPr>
        <w:t xml:space="preserve"/>
      </w:r>
    </w:p>
    <w:p>
      <w:pPr>
        <w:spacing w:line="400" w:lineRule="exact"/>
        <w:ind w:left="0" w:firstLine="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Deep Learning; A-share Market; Risk Prediction; CNN-LSTM-Attention; Time Series Classification</w:t>
      </w:r>
    </w:p>
    <w:p>
      <w:r>
        <w:br w:type="page"/>
      </w:r>
    </w:p>
    <w:p>
      <w:pPr>
        <w:spacing w:after="360" w:before="360" w:line="400" w:lineRule="exact"/>
        <w:jc w:val="center"/>
      </w:pPr>
      <w:r>
        <w:rPr>
          <w:rFonts w:ascii="黑体" w:cs="黑体" w:eastAsia="黑体" w:hAnsi="黑体"/>
          <w:b/>
          <w:bCs/>
          <w:sz w:val="30"/>
          <w:szCs w:val="30"/>
        </w:rPr>
        <w:t xml:space="preserve">目  录</w:t>
      </w:r>
    </w:p>
    <w:p>
      <w:pPr>
        <w:spacing w:line="400" w:lineRule="exact"/>
        <w:ind w:left="0" w:firstLine="0"/>
        <w:jc w:val="left"/>
      </w:pPr>
      <w:r>
        <w:rPr>
          <w:rFonts w:ascii="宋体" w:cs="宋体" w:eastAsia="宋体" w:hAnsi="宋体"/>
          <w:b/>
          <w:bCs/>
          <w:sz w:val="24"/>
          <w:szCs w:val="24"/>
        </w:rPr>
        <w:t xml:space="preserve">1  绪论</w:t>
      </w:r>
    </w:p>
    <w:p>
      <w:pPr>
        <w:spacing w:line="400" w:lineRule="exact"/>
        <w:ind w:left="360" w:firstLine="0"/>
        <w:jc w:val="left"/>
      </w:pPr>
      <w:r>
        <w:rPr>
          <w:rFonts w:ascii="宋体" w:cs="宋体" w:eastAsia="宋体" w:hAnsi="宋体"/>
          <w:b w:val="false"/>
          <w:bCs w:val="false"/>
          <w:sz w:val="24"/>
          <w:szCs w:val="24"/>
        </w:rPr>
        <w:t xml:space="preserve">1.1  研究背景与意义</w:t>
      </w:r>
    </w:p>
    <w:p>
      <w:pPr>
        <w:spacing w:line="400" w:lineRule="exact"/>
        <w:ind w:left="360" w:firstLine="0"/>
        <w:jc w:val="left"/>
      </w:pPr>
      <w:r>
        <w:rPr>
          <w:rFonts w:ascii="宋体" w:cs="宋体" w:eastAsia="宋体" w:hAnsi="宋体"/>
          <w:b w:val="false"/>
          <w:bCs w:val="false"/>
          <w:sz w:val="24"/>
          <w:szCs w:val="24"/>
        </w:rPr>
        <w:t xml:space="preserve">1.2  国内外研究现状</w:t>
      </w:r>
    </w:p>
    <w:p>
      <w:pPr>
        <w:spacing w:line="400" w:lineRule="exact"/>
        <w:ind w:left="360" w:firstLine="0"/>
        <w:jc w:val="left"/>
      </w:pPr>
      <w:r>
        <w:rPr>
          <w:rFonts w:ascii="宋体" w:cs="宋体" w:eastAsia="宋体" w:hAnsi="宋体"/>
          <w:b w:val="false"/>
          <w:bCs w:val="false"/>
          <w:sz w:val="24"/>
          <w:szCs w:val="24"/>
        </w:rPr>
        <w:t xml:space="preserve">1.3  研究目标与主要工作</w:t>
      </w:r>
    </w:p>
    <w:p>
      <w:pPr>
        <w:spacing w:line="400" w:lineRule="exact"/>
        <w:ind w:left="360" w:firstLine="0"/>
        <w:jc w:val="left"/>
      </w:pPr>
      <w:r>
        <w:rPr>
          <w:rFonts w:ascii="宋体" w:cs="宋体" w:eastAsia="宋体" w:hAnsi="宋体"/>
          <w:b w:val="false"/>
          <w:bCs w:val="false"/>
          <w:sz w:val="24"/>
          <w:szCs w:val="24"/>
        </w:rPr>
        <w:t xml:space="preserve">1.4  论文组织结构</w:t>
      </w:r>
    </w:p>
    <w:p>
      <w:pPr>
        <w:spacing w:line="400" w:lineRule="exact"/>
        <w:ind w:left="0" w:firstLine="0"/>
        <w:jc w:val="left"/>
      </w:pPr>
      <w:r>
        <w:rPr>
          <w:rFonts w:ascii="宋体" w:cs="宋体" w:eastAsia="宋体" w:hAnsi="宋体"/>
          <w:b/>
          <w:bCs/>
          <w:sz w:val="24"/>
          <w:szCs w:val="24"/>
        </w:rPr>
        <w:t xml:space="preserve">2  相关技术基础</w:t>
      </w:r>
    </w:p>
    <w:p>
      <w:pPr>
        <w:spacing w:line="400" w:lineRule="exact"/>
        <w:ind w:left="360" w:firstLine="0"/>
        <w:jc w:val="left"/>
      </w:pPr>
      <w:r>
        <w:rPr>
          <w:rFonts w:ascii="宋体" w:cs="宋体" w:eastAsia="宋体" w:hAnsi="宋体"/>
          <w:b w:val="false"/>
          <w:bCs w:val="false"/>
          <w:sz w:val="24"/>
          <w:szCs w:val="24"/>
        </w:rPr>
        <w:t xml:space="preserve">2.1  卷积神经网络（CNN）</w:t>
      </w:r>
    </w:p>
    <w:p>
      <w:pPr>
        <w:spacing w:line="400" w:lineRule="exact"/>
        <w:ind w:left="360" w:firstLine="0"/>
        <w:jc w:val="left"/>
      </w:pPr>
      <w:r>
        <w:rPr>
          <w:rFonts w:ascii="宋体" w:cs="宋体" w:eastAsia="宋体" w:hAnsi="宋体"/>
          <w:b w:val="false"/>
          <w:bCs w:val="false"/>
          <w:sz w:val="24"/>
          <w:szCs w:val="24"/>
        </w:rPr>
        <w:t xml:space="preserve">2.2  长短期记忆网络（LSTM）</w:t>
      </w:r>
    </w:p>
    <w:p>
      <w:pPr>
        <w:spacing w:line="400" w:lineRule="exact"/>
        <w:ind w:left="360" w:firstLine="0"/>
        <w:jc w:val="left"/>
      </w:pPr>
      <w:r>
        <w:rPr>
          <w:rFonts w:ascii="宋体" w:cs="宋体" w:eastAsia="宋体" w:hAnsi="宋体"/>
          <w:b w:val="false"/>
          <w:bCs w:val="false"/>
          <w:sz w:val="24"/>
          <w:szCs w:val="24"/>
        </w:rPr>
        <w:t xml:space="preserve">2.3  注意力机制</w:t>
      </w:r>
    </w:p>
    <w:p>
      <w:pPr>
        <w:spacing w:line="400" w:lineRule="exact"/>
        <w:ind w:left="360" w:firstLine="0"/>
        <w:jc w:val="left"/>
      </w:pPr>
      <w:r>
        <w:rPr>
          <w:rFonts w:ascii="宋体" w:cs="宋体" w:eastAsia="宋体" w:hAnsi="宋体"/>
          <w:b w:val="false"/>
          <w:bCs w:val="false"/>
          <w:sz w:val="24"/>
          <w:szCs w:val="24"/>
        </w:rPr>
        <w:t xml:space="preserve">2.4  技术栈概述</w:t>
      </w:r>
    </w:p>
    <w:p>
      <w:pPr>
        <w:spacing w:line="400" w:lineRule="exact"/>
        <w:ind w:left="0" w:firstLine="0"/>
        <w:jc w:val="left"/>
      </w:pPr>
      <w:r>
        <w:rPr>
          <w:rFonts w:ascii="宋体" w:cs="宋体" w:eastAsia="宋体" w:hAnsi="宋体"/>
          <w:b/>
          <w:bCs/>
          <w:sz w:val="24"/>
          <w:szCs w:val="24"/>
        </w:rPr>
        <w:t xml:space="preserve">3  系统总体设计</w:t>
      </w:r>
    </w:p>
    <w:p>
      <w:pPr>
        <w:spacing w:line="400" w:lineRule="exact"/>
        <w:ind w:left="360" w:firstLine="0"/>
        <w:jc w:val="left"/>
      </w:pPr>
      <w:r>
        <w:rPr>
          <w:rFonts w:ascii="宋体" w:cs="宋体" w:eastAsia="宋体" w:hAnsi="宋体"/>
          <w:b w:val="false"/>
          <w:bCs w:val="false"/>
          <w:sz w:val="24"/>
          <w:szCs w:val="24"/>
        </w:rPr>
        <w:t xml:space="preserve">3.1  需求分析</w:t>
      </w:r>
    </w:p>
    <w:p>
      <w:pPr>
        <w:spacing w:line="400" w:lineRule="exact"/>
        <w:ind w:left="360" w:firstLine="0"/>
        <w:jc w:val="left"/>
      </w:pPr>
      <w:r>
        <w:rPr>
          <w:rFonts w:ascii="宋体" w:cs="宋体" w:eastAsia="宋体" w:hAnsi="宋体"/>
          <w:b w:val="false"/>
          <w:bCs w:val="false"/>
          <w:sz w:val="24"/>
          <w:szCs w:val="24"/>
        </w:rPr>
        <w:t xml:space="preserve">3.2  系统总体架构</w:t>
      </w:r>
    </w:p>
    <w:p>
      <w:pPr>
        <w:spacing w:line="400" w:lineRule="exact"/>
        <w:ind w:left="360" w:firstLine="0"/>
        <w:jc w:val="left"/>
      </w:pPr>
      <w:r>
        <w:rPr>
          <w:rFonts w:ascii="宋体" w:cs="宋体" w:eastAsia="宋体" w:hAnsi="宋体"/>
          <w:b w:val="false"/>
          <w:bCs w:val="false"/>
          <w:sz w:val="24"/>
          <w:szCs w:val="24"/>
        </w:rPr>
        <w:t xml:space="preserve">3.3  技术选型</w:t>
      </w:r>
    </w:p>
    <w:p>
      <w:pPr>
        <w:spacing w:line="400" w:lineRule="exact"/>
        <w:ind w:left="360" w:firstLine="0"/>
        <w:jc w:val="left"/>
      </w:pPr>
      <w:r>
        <w:rPr>
          <w:rFonts w:ascii="宋体" w:cs="宋体" w:eastAsia="宋体" w:hAnsi="宋体"/>
          <w:b w:val="false"/>
          <w:bCs w:val="false"/>
          <w:sz w:val="24"/>
          <w:szCs w:val="24"/>
        </w:rPr>
        <w:t xml:space="preserve">3.4  模块划分</w:t>
      </w:r>
    </w:p>
    <w:p>
      <w:pPr>
        <w:spacing w:line="400" w:lineRule="exact"/>
        <w:ind w:left="0" w:firstLine="0"/>
        <w:jc w:val="left"/>
      </w:pPr>
      <w:r>
        <w:rPr>
          <w:rFonts w:ascii="宋体" w:cs="宋体" w:eastAsia="宋体" w:hAnsi="宋体"/>
          <w:b/>
          <w:bCs/>
          <w:sz w:val="24"/>
          <w:szCs w:val="24"/>
        </w:rPr>
        <w:t xml:space="preserve">4  模型设计与特征工程</w:t>
      </w:r>
    </w:p>
    <w:p>
      <w:pPr>
        <w:spacing w:line="400" w:lineRule="exact"/>
        <w:ind w:left="360" w:firstLine="0"/>
        <w:jc w:val="left"/>
      </w:pPr>
      <w:r>
        <w:rPr>
          <w:rFonts w:ascii="宋体" w:cs="宋体" w:eastAsia="宋体" w:hAnsi="宋体"/>
          <w:b w:val="false"/>
          <w:bCs w:val="false"/>
          <w:sz w:val="24"/>
          <w:szCs w:val="24"/>
        </w:rPr>
        <w:t xml:space="preserve">4.1  特征工程设计</w:t>
      </w:r>
    </w:p>
    <w:p>
      <w:pPr>
        <w:spacing w:line="400" w:lineRule="exact"/>
        <w:ind w:left="360" w:firstLine="0"/>
        <w:jc w:val="left"/>
      </w:pPr>
      <w:r>
        <w:rPr>
          <w:rFonts w:ascii="宋体" w:cs="宋体" w:eastAsia="宋体" w:hAnsi="宋体"/>
          <w:b w:val="false"/>
          <w:bCs w:val="false"/>
          <w:sz w:val="24"/>
          <w:szCs w:val="24"/>
        </w:rPr>
        <w:t xml:space="preserve">4.2  CNN-LSTM-Attention模型设计</w:t>
      </w:r>
    </w:p>
    <w:p>
      <w:pPr>
        <w:spacing w:line="400" w:lineRule="exact"/>
        <w:ind w:left="360" w:firstLine="0"/>
        <w:jc w:val="left"/>
      </w:pPr>
      <w:r>
        <w:rPr>
          <w:rFonts w:ascii="宋体" w:cs="宋体" w:eastAsia="宋体" w:hAnsi="宋体"/>
          <w:b w:val="false"/>
          <w:bCs w:val="false"/>
          <w:sz w:val="24"/>
          <w:szCs w:val="24"/>
        </w:rPr>
        <w:t xml:space="preserve">4.3  模型训练策略</w:t>
      </w:r>
    </w:p>
    <w:p>
      <w:pPr>
        <w:spacing w:line="400" w:lineRule="exact"/>
        <w:ind w:left="0" w:firstLine="0"/>
        <w:jc w:val="left"/>
      </w:pPr>
      <w:r>
        <w:rPr>
          <w:rFonts w:ascii="宋体" w:cs="宋体" w:eastAsia="宋体" w:hAnsi="宋体"/>
          <w:b/>
          <w:bCs/>
          <w:sz w:val="24"/>
          <w:szCs w:val="24"/>
        </w:rPr>
        <w:t xml:space="preserve">5  系统实现</w:t>
      </w:r>
    </w:p>
    <w:p>
      <w:pPr>
        <w:spacing w:line="400" w:lineRule="exact"/>
        <w:ind w:left="360" w:firstLine="0"/>
        <w:jc w:val="left"/>
      </w:pPr>
      <w:r>
        <w:rPr>
          <w:rFonts w:ascii="宋体" w:cs="宋体" w:eastAsia="宋体" w:hAnsi="宋体"/>
          <w:b w:val="false"/>
          <w:bCs w:val="false"/>
          <w:sz w:val="24"/>
          <w:szCs w:val="24"/>
        </w:rPr>
        <w:t xml:space="preserve">5.1  数据采集与处理模块</w:t>
      </w:r>
    </w:p>
    <w:p>
      <w:pPr>
        <w:spacing w:line="400" w:lineRule="exact"/>
        <w:ind w:left="360" w:firstLine="0"/>
        <w:jc w:val="left"/>
      </w:pPr>
      <w:r>
        <w:rPr>
          <w:rFonts w:ascii="宋体" w:cs="宋体" w:eastAsia="宋体" w:hAnsi="宋体"/>
          <w:b w:val="false"/>
          <w:bCs w:val="false"/>
          <w:sz w:val="24"/>
          <w:szCs w:val="24"/>
        </w:rPr>
        <w:t xml:space="preserve">5.2  模型训练与评估模块</w:t>
      </w:r>
    </w:p>
    <w:p>
      <w:pPr>
        <w:spacing w:line="400" w:lineRule="exact"/>
        <w:ind w:left="360" w:firstLine="0"/>
        <w:jc w:val="left"/>
      </w:pPr>
      <w:r>
        <w:rPr>
          <w:rFonts w:ascii="宋体" w:cs="宋体" w:eastAsia="宋体" w:hAnsi="宋体"/>
          <w:b w:val="false"/>
          <w:bCs w:val="false"/>
          <w:sz w:val="24"/>
          <w:szCs w:val="24"/>
        </w:rPr>
        <w:t xml:space="preserve">5.3  预测推理模块</w:t>
      </w:r>
    </w:p>
    <w:p>
      <w:pPr>
        <w:spacing w:line="400" w:lineRule="exact"/>
        <w:ind w:left="360" w:firstLine="0"/>
        <w:jc w:val="left"/>
      </w:pPr>
      <w:r>
        <w:rPr>
          <w:rFonts w:ascii="宋体" w:cs="宋体" w:eastAsia="宋体" w:hAnsi="宋体"/>
          <w:b w:val="false"/>
          <w:bCs w:val="false"/>
          <w:sz w:val="24"/>
          <w:szCs w:val="24"/>
        </w:rPr>
        <w:t xml:space="preserve">5.4  可视化交互界面</w:t>
      </w:r>
    </w:p>
    <w:p>
      <w:pPr>
        <w:spacing w:line="400" w:lineRule="exact"/>
        <w:ind w:left="0" w:firstLine="0"/>
        <w:jc w:val="left"/>
      </w:pPr>
      <w:r>
        <w:rPr>
          <w:rFonts w:ascii="宋体" w:cs="宋体" w:eastAsia="宋体" w:hAnsi="宋体"/>
          <w:b/>
          <w:bCs/>
          <w:sz w:val="24"/>
          <w:szCs w:val="24"/>
        </w:rPr>
        <w:t xml:space="preserve">6  实验与结果分析</w:t>
      </w:r>
    </w:p>
    <w:p>
      <w:pPr>
        <w:spacing w:line="400" w:lineRule="exact"/>
        <w:ind w:left="360" w:firstLine="0"/>
        <w:jc w:val="left"/>
      </w:pPr>
      <w:r>
        <w:rPr>
          <w:rFonts w:ascii="宋体" w:cs="宋体" w:eastAsia="宋体" w:hAnsi="宋体"/>
          <w:b w:val="false"/>
          <w:bCs w:val="false"/>
          <w:sz w:val="24"/>
          <w:szCs w:val="24"/>
        </w:rPr>
        <w:t xml:space="preserve">6.1  实验设置</w:t>
      </w:r>
    </w:p>
    <w:p>
      <w:pPr>
        <w:spacing w:line="400" w:lineRule="exact"/>
        <w:ind w:left="360" w:firstLine="0"/>
        <w:jc w:val="left"/>
      </w:pPr>
      <w:r>
        <w:rPr>
          <w:rFonts w:ascii="宋体" w:cs="宋体" w:eastAsia="宋体" w:hAnsi="宋体"/>
          <w:b w:val="false"/>
          <w:bCs w:val="false"/>
          <w:sz w:val="24"/>
          <w:szCs w:val="24"/>
        </w:rPr>
        <w:t xml:space="preserve">6.2  训练过程分析</w:t>
      </w:r>
    </w:p>
    <w:p>
      <w:pPr>
        <w:spacing w:line="400" w:lineRule="exact"/>
        <w:ind w:left="360" w:firstLine="0"/>
        <w:jc w:val="left"/>
      </w:pPr>
      <w:r>
        <w:rPr>
          <w:rFonts w:ascii="宋体" w:cs="宋体" w:eastAsia="宋体" w:hAnsi="宋体"/>
          <w:b w:val="false"/>
          <w:bCs w:val="false"/>
          <w:sz w:val="24"/>
          <w:szCs w:val="24"/>
        </w:rPr>
        <w:t xml:space="preserve">6.3  测试结果分析</w:t>
      </w:r>
    </w:p>
    <w:p>
      <w:pPr>
        <w:spacing w:line="400" w:lineRule="exact"/>
        <w:ind w:left="360" w:firstLine="0"/>
        <w:jc w:val="left"/>
      </w:pPr>
      <w:r>
        <w:rPr>
          <w:rFonts w:ascii="宋体" w:cs="宋体" w:eastAsia="宋体" w:hAnsi="宋体"/>
          <w:b w:val="false"/>
          <w:bCs w:val="false"/>
          <w:sz w:val="24"/>
          <w:szCs w:val="24"/>
        </w:rPr>
        <w:t xml:space="preserve">6.4  消融实验</w:t>
      </w:r>
    </w:p>
    <w:p>
      <w:pPr>
        <w:spacing w:line="400" w:lineRule="exact"/>
        <w:ind w:left="0" w:firstLine="0"/>
        <w:jc w:val="left"/>
      </w:pPr>
      <w:r>
        <w:rPr>
          <w:rFonts w:ascii="宋体" w:cs="宋体" w:eastAsia="宋体" w:hAnsi="宋体"/>
          <w:b/>
          <w:bCs/>
          <w:sz w:val="24"/>
          <w:szCs w:val="24"/>
        </w:rPr>
        <w:t xml:space="preserve">7  总结与展望</w:t>
      </w:r>
    </w:p>
    <w:p>
      <w:pPr>
        <w:spacing w:line="400" w:lineRule="exact"/>
        <w:ind w:left="360" w:firstLine="0"/>
        <w:jc w:val="left"/>
      </w:pPr>
      <w:r>
        <w:rPr>
          <w:rFonts w:ascii="宋体" w:cs="宋体" w:eastAsia="宋体" w:hAnsi="宋体"/>
          <w:b w:val="false"/>
          <w:bCs w:val="false"/>
          <w:sz w:val="24"/>
          <w:szCs w:val="24"/>
        </w:rPr>
        <w:t xml:space="preserve">7.1  工作总结</w:t>
      </w:r>
    </w:p>
    <w:p>
      <w:pPr>
        <w:spacing w:line="400" w:lineRule="exact"/>
        <w:ind w:left="360" w:firstLine="0"/>
        <w:jc w:val="left"/>
      </w:pPr>
      <w:r>
        <w:rPr>
          <w:rFonts w:ascii="宋体" w:cs="宋体" w:eastAsia="宋体" w:hAnsi="宋体"/>
          <w:b w:val="false"/>
          <w:bCs w:val="false"/>
          <w:sz w:val="24"/>
          <w:szCs w:val="24"/>
        </w:rPr>
        <w:t xml:space="preserve">7.2  不足与展望</w:t>
      </w:r>
    </w:p>
    <w:p>
      <w:pPr>
        <w:spacing w:line="400" w:lineRule="exact"/>
        <w:ind w:left="0" w:firstLine="0"/>
        <w:jc w:val="left"/>
      </w:pPr>
      <w:r>
        <w:rPr>
          <w:rFonts w:ascii="宋体" w:cs="宋体" w:eastAsia="宋体" w:hAnsi="宋体"/>
          <w:b/>
          <w:bCs/>
          <w:sz w:val="24"/>
          <w:szCs w:val="24"/>
        </w:rPr>
        <w:t xml:space="preserve">参考文献</w:t>
      </w:r>
    </w:p>
    <w:p>
      <w:pPr>
        <w:spacing w:line="400" w:lineRule="exact"/>
        <w:ind w:left="0" w:firstLine="0"/>
        <w:jc w:val="left"/>
      </w:pPr>
      <w:r>
        <w:rPr>
          <w:rFonts w:ascii="宋体" w:cs="宋体" w:eastAsia="宋体" w:hAnsi="宋体"/>
          <w:b/>
          <w:bCs/>
          <w:sz w:val="24"/>
          <w:szCs w:val="24"/>
        </w:rPr>
        <w:t xml:space="preserve">附录</w:t>
      </w:r>
    </w:p>
    <w:p>
      <w:pPr>
        <w:spacing w:line="400" w:lineRule="exact"/>
        <w:ind w:left="0" w:firstLine="0"/>
        <w:jc w:val="left"/>
      </w:pPr>
      <w:r>
        <w:rPr>
          <w:rFonts w:ascii="宋体" w:cs="宋体" w:eastAsia="宋体" w:hAnsi="宋体"/>
          <w:b/>
          <w:bCs/>
          <w:sz w:val="24"/>
          <w:szCs w:val="24"/>
        </w:rPr>
        <w:t xml:space="preserve">致谢</w:t>
      </w:r>
    </w:p>
    <w:p>
      <w:r>
        <w:br w:type="page"/>
      </w:r>
    </w:p>
    <w:p>
      <w:pPr>
        <w:spacing w:after="120" w:before="240" w:line="600" w:lineRule="auto"/>
        <w:ind w:left="0" w:firstLine="0"/>
        <w:jc w:val="left"/>
      </w:pPr>
      <w:r>
        <w:rPr>
          <w:rFonts w:ascii="黑体" w:cs="黑体" w:eastAsia="黑体" w:hAnsi="黑体"/>
          <w:b/>
          <w:bCs/>
          <w:sz w:val="30"/>
          <w:szCs w:val="30"/>
        </w:rPr>
        <w:t xml:space="preserve">1  绪论</w:t>
      </w:r>
    </w:p>
    <w:p>
      <w:pPr>
        <w:spacing w:after="100" w:before="200" w:line="480" w:lineRule="auto"/>
        <w:ind w:left="0" w:firstLine="0"/>
        <w:jc w:val="left"/>
      </w:pPr>
      <w:r>
        <w:rPr>
          <w:rFonts w:ascii="黑体" w:cs="黑体" w:eastAsia="黑体" w:hAnsi="黑体"/>
          <w:b/>
          <w:bCs/>
          <w:sz w:val="28"/>
          <w:szCs w:val="28"/>
        </w:rPr>
        <w:t xml:space="preserve">1.1  研究背景与意义</w:t>
      </w:r>
    </w:p>
    <w:p>
      <w:pPr>
        <w:spacing w:after="0" w:before="0" w:line="400" w:lineRule="exact"/>
        <w:ind w:firstLine="480"/>
        <w:jc w:val="both"/>
      </w:pPr>
      <w:r>
        <w:rPr>
          <w:rFonts w:ascii="宋体" w:cs="宋体" w:eastAsia="宋体" w:hAnsi="宋体"/>
          <w:b w:val="false"/>
          <w:bCs w:val="false"/>
          <w:i w:val="false"/>
          <w:iCs w:val="false"/>
          <w:sz w:val="24"/>
          <w:szCs w:val="24"/>
        </w:rPr>
        <w:t xml:space="preserve">近年来，中国资本市场经历了快速的扩张与深化。截至2024年底，A股市场上市公司数量超过5300家，流通市值突破70万亿元，个人投资者账户数量突破2.2亿[1]。庞大的市场规模和持续扩大的投资者基础，使得科学的风险管理工具成为迫切需求。然而，A股市场历史上曾多次出现剧烈波动：2015年"股灾"期间，沪深300指数在两个月内跌幅超过45%；2018年中美贸易战冲击期间，指数全年下跌25%；2020年初新冠疫情暴发，上证指数单日最大跌幅超过8%。每一次剧烈的市场下跌都给众多中小投资者带来了难以挽回的资产损失。如何在大跌来临之前及时预警，已成为金融科技研究的重要课题。</w:t>
      </w:r>
    </w:p>
    <w:p>
      <w:pPr>
        <w:spacing w:after="0" w:before="0" w:line="400" w:lineRule="exact"/>
        <w:ind w:firstLine="480"/>
        <w:jc w:val="both"/>
      </w:pPr>
      <w:r>
        <w:rPr>
          <w:rFonts w:ascii="宋体" w:cs="宋体" w:eastAsia="宋体" w:hAnsi="宋体"/>
          <w:b w:val="false"/>
          <w:bCs w:val="false"/>
          <w:i w:val="false"/>
          <w:iCs w:val="false"/>
          <w:sz w:val="24"/>
          <w:szCs w:val="24"/>
        </w:rPr>
        <w:t xml:space="preserve">传统的金融风险分析方法主要依赖人工识别技术指标形态，如移动平均线金死叉、相对强弱指标（RSI）超买超卖区间、布林带收敛扩张等。这类方法存在三方面根本性局限：其一，指标参数的选取高度依赖经验判断，不同分析师往往得出截然相反的结论，可重复性差；其二，技术指标本质上是对价格序列的线性统计变换，无法捕捉市场中普遍存在的非线性动态与复杂的多因素交互效应；其三，单一指标的预测信号噪声大，假信号频繁出现，导致实际操作中误判率高。</w:t>
      </w:r>
    </w:p>
    <w:p>
      <w:pPr>
        <w:spacing w:after="0" w:before="0" w:line="400" w:lineRule="exact"/>
        <w:ind w:firstLine="480"/>
        <w:jc w:val="both"/>
      </w:pPr>
      <w:r>
        <w:rPr>
          <w:rFonts w:ascii="宋体" w:cs="宋体" w:eastAsia="宋体" w:hAnsi="宋体"/>
          <w:b w:val="false"/>
          <w:bCs w:val="false"/>
          <w:i w:val="false"/>
          <w:iCs w:val="false"/>
          <w:sz w:val="24"/>
          <w:szCs w:val="24"/>
        </w:rPr>
        <w:t xml:space="preserve">深度学习技术的兴起为金融风险预测提供了全新的研究范式。深度学习模型能够从海量历史数据中自动学习价格序列的层次化特征表示，无需人工设计特征，且天然具备对非线性关系的强大建模能力[2]。卷积神经网络（CNN）、长短期记忆网络（LSTM）以及近年来兴起的Transformer等架构已在语音识别、自然语言处理等领域取得了突破性进展，并被陆续引入金融时间序列预测任务[3]。研究表明，基于深度学习的金融预测方法在准确率和稳健性上均显著优于传统统计方法[4]。</w:t>
      </w:r>
    </w:p>
    <w:p>
      <w:pPr>
        <w:spacing w:after="0" w:before="0" w:line="400" w:lineRule="exact"/>
        <w:ind w:firstLine="480"/>
        <w:jc w:val="both"/>
      </w:pPr>
      <w:r>
        <w:rPr>
          <w:rFonts w:ascii="宋体" w:cs="宋体" w:eastAsia="宋体" w:hAnsi="宋体"/>
          <w:b w:val="false"/>
          <w:bCs w:val="false"/>
          <w:i w:val="false"/>
          <w:iCs w:val="false"/>
          <w:sz w:val="24"/>
          <w:szCs w:val="24"/>
        </w:rPr>
        <w:t xml:space="preserve">基于上述背景，本研究聚焦于A股市场"次日大跌风险"这一具体任务，设计并实现了一个基于CNN-LSTM-Attention混合神经网络的风险预测系统。本研究的意义主要体现在三个方面：</w:t>
      </w:r>
    </w:p>
    <w:p>
      <w:pPr>
        <w:spacing w:after="0" w:before="0" w:line="400" w:lineRule="exact"/>
        <w:ind/>
        <w:jc w:val="both"/>
      </w:pPr>
      <w:r>
        <w:rPr>
          <w:rFonts w:ascii="宋体" w:cs="宋体" w:eastAsia="宋体" w:hAnsi="宋体"/>
          <w:b w:val="false"/>
          <w:bCs w:val="false"/>
          <w:i w:val="false"/>
          <w:iCs w:val="false"/>
          <w:sz w:val="24"/>
          <w:szCs w:val="24"/>
        </w:rPr>
        <w:t xml:space="preserve">（1）理论意义：将CNN的局部特征提取能力、LSTM的长程时序建模能力与注意力机制的动态加权能力有机融合，在A股风险预测任务上验证了三模块联合建模的有效性，为金融风险的深度学习建模提供了新的方案参考，丰富了金融科技的理论体系。</w:t>
      </w:r>
    </w:p>
    <w:p>
      <w:pPr>
        <w:spacing w:after="0" w:before="0" w:line="400" w:lineRule="exact"/>
        <w:ind/>
        <w:jc w:val="both"/>
      </w:pPr>
      <w:r>
        <w:rPr>
          <w:rFonts w:ascii="宋体" w:cs="宋体" w:eastAsia="宋体" w:hAnsi="宋体"/>
          <w:b w:val="false"/>
          <w:bCs w:val="false"/>
          <w:i w:val="false"/>
          <w:iCs w:val="false"/>
          <w:sz w:val="24"/>
          <w:szCs w:val="24"/>
        </w:rPr>
        <w:t xml:space="preserve">（2）实践意义：系统面向非专业投资者，通过可视化界面提供直观的风险概率输出与定性原因分析，降低了使用门槛，有助于引导投资者进行理性决策，减少因信息不对称或情绪化操作带来的非理性损失。</w:t>
      </w:r>
    </w:p>
    <w:p>
      <w:pPr>
        <w:spacing w:after="0" w:before="0" w:line="400" w:lineRule="exact"/>
        <w:ind/>
        <w:jc w:val="both"/>
      </w:pPr>
      <w:r>
        <w:rPr>
          <w:rFonts w:ascii="宋体" w:cs="宋体" w:eastAsia="宋体" w:hAnsi="宋体"/>
          <w:b w:val="false"/>
          <w:bCs w:val="false"/>
          <w:i w:val="false"/>
          <w:iCs w:val="false"/>
          <w:sz w:val="24"/>
          <w:szCs w:val="24"/>
        </w:rPr>
        <w:t xml:space="preserve">（3）技术意义：系统引入了股票与黄金市场数据的多源融合方案，探索了跨资产类别信息联动对风险预测的增益效果，为多资产组合的综合风险管理提供了实践参考，具有一定的技术推广价值。</w:t>
      </w:r>
    </w:p>
    <w:p>
      <w:pPr>
        <w:spacing w:after="100" w:before="200" w:line="480" w:lineRule="auto"/>
        <w:ind w:left="0" w:firstLine="0"/>
        <w:jc w:val="left"/>
      </w:pPr>
      <w:r>
        <w:rPr>
          <w:rFonts w:ascii="黑体" w:cs="黑体" w:eastAsia="黑体" w:hAnsi="黑体"/>
          <w:b/>
          <w:bCs/>
          <w:sz w:val="28"/>
          <w:szCs w:val="28"/>
        </w:rPr>
        <w:t xml:space="preserve">1.2  国内外研究现状</w:t>
      </w:r>
    </w:p>
    <w:p>
      <w:pPr>
        <w:spacing w:after="0" w:before="0" w:line="400" w:lineRule="exact"/>
        <w:ind w:firstLine="480"/>
        <w:jc w:val="both"/>
      </w:pPr>
      <w:r>
        <w:rPr>
          <w:rFonts w:ascii="宋体" w:cs="宋体" w:eastAsia="宋体" w:hAnsi="宋体"/>
          <w:b w:val="false"/>
          <w:bCs w:val="false"/>
          <w:i w:val="false"/>
          <w:iCs w:val="false"/>
          <w:sz w:val="24"/>
          <w:szCs w:val="24"/>
        </w:rPr>
        <w:t xml:space="preserve">深度学习在金融预测领域的应用研究自21世纪初开始起步，近十年来随着GPU算力的普及和大规模金融数据集的积累，相关成果日益丰富，大致可分为以下三个研究方向。</w:t>
      </w:r>
    </w:p>
    <w:p>
      <w:pPr>
        <w:spacing w:after="0" w:before="0" w:line="400" w:lineRule="exact"/>
        <w:ind w:firstLine="480"/>
        <w:jc w:val="both"/>
      </w:pPr>
      <w:r>
        <w:rPr>
          <w:rFonts w:ascii="宋体" w:cs="宋体" w:eastAsia="宋体" w:hAnsi="宋体"/>
          <w:b w:val="false"/>
          <w:bCs w:val="false"/>
          <w:i w:val="false"/>
          <w:iCs w:val="false"/>
          <w:sz w:val="24"/>
          <w:szCs w:val="24"/>
        </w:rPr>
        <w:t xml:space="preserve">在序列模型应用方面，Fischer和Krauss[5]于2018年系统地验证了LSTM在标普500指数成分股价格预测中的优越性，发现LSTM能够有效捕捉价格序列的多步滞后效应，平均年化超额收益达5.8%，显著优于随机游走、线性回归等传统方法。Sezer等[6]对2005年至2019年间的200余篇相关文献进行了系统综述，指出CNN和LSTM是金融时间序列预测领域使用最广泛的两类深度学习架构，且两者的组合模型在大多数任务上优于单一架构。Chen等[7]将注意力机制引入LSTM，在沪深A股预测任务中实现了约12%的MAE降低，表明注意力机制有效识别了历史窗口中的关键驱动时刻。</w:t>
      </w:r>
    </w:p>
    <w:p>
      <w:pPr>
        <w:spacing w:after="0" w:before="0" w:line="400" w:lineRule="exact"/>
        <w:ind w:firstLine="480"/>
        <w:jc w:val="both"/>
      </w:pPr>
      <w:r>
        <w:rPr>
          <w:rFonts w:ascii="宋体" w:cs="宋体" w:eastAsia="宋体" w:hAnsi="宋体"/>
          <w:b w:val="false"/>
          <w:bCs w:val="false"/>
          <w:i w:val="false"/>
          <w:iCs w:val="false"/>
          <w:sz w:val="24"/>
          <w:szCs w:val="24"/>
        </w:rPr>
        <w:t xml:space="preserve">在多模态特征融合方面，Feng等[8]构建了融合股票量价数据、财经新闻情感极性与社交媒体情绪的多模态预测模型，实验表明情感特征的引入使预测稳定性提升了约8%。Li等[9]设计了基于图神经网络的股票关系建模方法，利用A股上市公司间的行业关联和供应链关系增强预测精度，在个股层面取得了优于时序模型的结果。</w:t>
      </w:r>
    </w:p>
    <w:p>
      <w:pPr>
        <w:spacing w:after="0" w:before="0" w:line="400" w:lineRule="exact"/>
        <w:ind w:firstLine="480"/>
        <w:jc w:val="both"/>
      </w:pPr>
      <w:r>
        <w:rPr>
          <w:rFonts w:ascii="宋体" w:cs="宋体" w:eastAsia="宋体" w:hAnsi="宋体"/>
          <w:b w:val="false"/>
          <w:bCs w:val="false"/>
          <w:i w:val="false"/>
          <w:iCs w:val="false"/>
          <w:sz w:val="24"/>
          <w:szCs w:val="24"/>
        </w:rPr>
        <w:t xml:space="preserve">在国内研究方面，张伟等[10]较早将LSTM应用于沪深300指数预测，系统分析了输入窗口长度和隐层规模对模型性能的影响，为后续研究提供了超参数选择的参考依据；李明等[11]提出GRU结合注意力机制的轻量化预测模型，在上证综指预测中取得了87%的方向准确率；王强等[12]将深度强化学习引入量化交易，实现了策略学习与风险控制的端到端自动化，但该类方法对数据规模要求较高，实用性有待进一步验证。</w:t>
      </w:r>
    </w:p>
    <w:p>
      <w:pPr>
        <w:spacing w:after="0" w:before="0" w:line="400" w:lineRule="exact"/>
        <w:ind w:firstLine="480"/>
        <w:jc w:val="both"/>
      </w:pPr>
      <w:r>
        <w:rPr>
          <w:rFonts w:ascii="宋体" w:cs="宋体" w:eastAsia="宋体" w:hAnsi="宋体"/>
          <w:b w:val="false"/>
          <w:bCs w:val="false"/>
          <w:i w:val="false"/>
          <w:iCs w:val="false"/>
          <w:sz w:val="24"/>
          <w:szCs w:val="24"/>
        </w:rPr>
        <w:t xml:space="preserve">综合上述文献，现有研究存在以下不足：第一，大多数工作以价格方向预测（涨/跌/平）为目标，而非直接面向"极端大跌"这一高危风险事件，任务定义的差异使得预测方法需要专门优化；第二，在模型架构上，CNN与LSTM的组合已有较多研究，但三者（CNN、LSTM、Attention）的层次化联合建模并系统应用于A股市场的工作仍相对匮乏；第三，大量研究仅在算法实验层面止步，缺乏可部署、可交互的完整系统实现，工程落地价值有限。本研究正是针对上述不足展开。</w:t>
      </w:r>
    </w:p>
    <w:p>
      <w:pPr>
        <w:spacing w:after="100" w:before="200" w:line="480" w:lineRule="auto"/>
        <w:ind w:left="0" w:firstLine="0"/>
        <w:jc w:val="left"/>
      </w:pPr>
      <w:r>
        <w:rPr>
          <w:rFonts w:ascii="黑体" w:cs="黑体" w:eastAsia="黑体" w:hAnsi="黑体"/>
          <w:b/>
          <w:bCs/>
          <w:sz w:val="28"/>
          <w:szCs w:val="28"/>
        </w:rPr>
        <w:t xml:space="preserve">1.3  研究目标与主要工作</w:t>
      </w:r>
    </w:p>
    <w:p>
      <w:pPr>
        <w:spacing w:after="0" w:before="0" w:line="400" w:lineRule="exact"/>
        <w:ind w:firstLine="480"/>
        <w:jc w:val="both"/>
      </w:pPr>
      <w:r>
        <w:rPr>
          <w:rFonts w:ascii="宋体" w:cs="宋体" w:eastAsia="宋体" w:hAnsi="宋体"/>
          <w:b w:val="false"/>
          <w:bCs w:val="false"/>
          <w:i w:val="false"/>
          <w:iCs w:val="false"/>
          <w:sz w:val="24"/>
          <w:szCs w:val="24"/>
        </w:rPr>
        <w:t xml:space="preserve">本研究的核心目标是：围绕A股市场"次日大跌"（收益率低于-1.5%）这一风险事件，设计并实现基于CNN-LSTM-Attention混合神经网络的二分类风险预测系统，使模型在测试集上的整体准确率超过85%、风险召回率超过80%，并开发配套的交互式Web应用，将模型能力封装为可直接使用的预测工具。</w:t>
      </w:r>
    </w:p>
    <w:p>
      <w:pPr>
        <w:spacing w:after="0" w:before="0" w:line="400" w:lineRule="exact"/>
        <w:ind w:firstLine="480"/>
        <w:jc w:val="both"/>
      </w:pPr>
      <w:r>
        <w:rPr>
          <w:rFonts w:ascii="宋体" w:cs="宋体" w:eastAsia="宋体" w:hAnsi="宋体"/>
          <w:b w:val="false"/>
          <w:bCs w:val="false"/>
          <w:i w:val="false"/>
          <w:iCs w:val="false"/>
          <w:sz w:val="24"/>
          <w:szCs w:val="24"/>
        </w:rPr>
        <w:t xml:space="preserve">围绕上述目标，本文的主要工作包括以下四个方面：</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第一，特征工程。从akshare数据接口获取历史日行情数据，构建了包含开盘价、收盘价、最高价、最低价、5日均线、20日均线、20日收盘价标准差共7维特征的输入向量，并完成数据清洗、标准化与风险标签生成。</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第二，模型设计。提出CNN-LSTM-Attention混合架构，通过两层Conv1D-MaxPooling提取局部波动特征，两层LSTM学习长程时序依赖，自注意力层动态加权历史时间步，全连接层输出风险概率，实现了端到端的层次化特征学习。</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第三，训练策略优化。针对类别不平衡问题（风险事件约占18%），采用频率反比动态类别权重，结合早停机制（patience=10）与Dropout正则化（p=0.5），显著提升了模型对少数类风险事件的识别率。</w:t>
      </w:r>
    </w:p>
    <w:p>
      <w:pPr>
        <w:spacing w:after="0" w:before="0" w:line="400" w:lineRule="exact"/>
        <w:ind w:firstLine="480"/>
        <w:jc w:val="both"/>
      </w:pPr>
      <w:r>
        <w:rPr>
          <w:rFonts w:ascii="宋体" w:cs="宋体" w:eastAsia="宋体" w:hAnsi="宋体"/>
          <w:b w:val="false"/>
          <w:bCs w:val="false"/>
          <w:i w:val="false"/>
          <w:iCs w:val="false"/>
          <w:sz w:val="24"/>
          <w:szCs w:val="24"/>
        </w:rPr>
        <w:t xml:space="preserve">第四，系统工程实现。基于Streamlit框架开发了完整的交互式Web应用，集成了数据下载、模型推理与结果可视化三大功能，支持对沪深300、上证指数、深证成指、创业板指及黄金等5类市场标的的实时风险预测。</w:t>
      </w:r>
    </w:p>
    <w:p>
      <w:pPr>
        <w:spacing w:after="100" w:before="200" w:line="480" w:lineRule="auto"/>
        <w:ind w:left="0" w:firstLine="0"/>
        <w:jc w:val="left"/>
      </w:pPr>
      <w:r>
        <w:rPr>
          <w:rFonts w:ascii="黑体" w:cs="黑体" w:eastAsia="黑体" w:hAnsi="黑体"/>
          <w:b/>
          <w:bCs/>
          <w:sz w:val="28"/>
          <w:szCs w:val="28"/>
        </w:rPr>
        <w:t xml:space="preserve">1.4  论文组织结构</w:t>
      </w:r>
    </w:p>
    <w:p>
      <w:pPr>
        <w:spacing w:after="0" w:before="0" w:line="400" w:lineRule="exact"/>
        <w:ind w:firstLine="480"/>
        <w:jc w:val="both"/>
      </w:pPr>
      <w:r>
        <w:rPr>
          <w:rFonts w:ascii="宋体" w:cs="宋体" w:eastAsia="宋体" w:hAnsi="宋体"/>
          <w:b w:val="false"/>
          <w:bCs w:val="false"/>
          <w:i w:val="false"/>
          <w:iCs w:val="false"/>
          <w:sz w:val="24"/>
          <w:szCs w:val="24"/>
        </w:rPr>
        <w:t xml:space="preserve">本论文共分七章进行叙述。第1章为绪论，介绍研究背景、国内外现状、研究目标与主要工作；第2章介绍卷积神经网络、长短期记忆网络、注意力机制等相关技术基础；第3章从需求分析出发，描述系统总体架构与技术选型；第4章详细阐述特征工程设计与CNN-LSTM-Attention模型的设计原理；第5章从工程实现角度介绍各功能模块的实现细节；第6章通过对比实验与消融实验验证模型有效性；第7章总结全文研究成果，并展望未来改进方向。</w:t>
      </w:r>
    </w:p>
    <w:p>
      <w:r>
        <w:br w:type="page"/>
      </w:r>
    </w:p>
    <w:p>
      <w:pPr>
        <w:spacing w:after="120" w:before="240" w:line="600" w:lineRule="auto"/>
        <w:ind w:left="0" w:firstLine="0"/>
        <w:jc w:val="left"/>
      </w:pPr>
      <w:r>
        <w:rPr>
          <w:rFonts w:ascii="黑体" w:cs="黑体" w:eastAsia="黑体" w:hAnsi="黑体"/>
          <w:b/>
          <w:bCs/>
          <w:sz w:val="30"/>
          <w:szCs w:val="30"/>
        </w:rPr>
        <w:t xml:space="preserve">2  相关技术基础</w:t>
      </w:r>
    </w:p>
    <w:p>
      <w:pPr>
        <w:spacing w:after="100" w:before="200" w:line="480" w:lineRule="auto"/>
        <w:ind w:left="0" w:firstLine="0"/>
        <w:jc w:val="left"/>
      </w:pPr>
      <w:r>
        <w:rPr>
          <w:rFonts w:ascii="黑体" w:cs="黑体" w:eastAsia="黑体" w:hAnsi="黑体"/>
          <w:b/>
          <w:bCs/>
          <w:sz w:val="28"/>
          <w:szCs w:val="28"/>
        </w:rPr>
        <w:t xml:space="preserve">2.1  卷积神经网络（CNN）</w:t>
      </w:r>
    </w:p>
    <w:p>
      <w:pPr>
        <w:spacing w:after="0" w:before="0" w:line="400" w:lineRule="exact"/>
        <w:ind w:firstLine="480"/>
        <w:jc w:val="both"/>
      </w:pPr>
      <w:r>
        <w:rPr>
          <w:rFonts w:ascii="宋体" w:cs="宋体" w:eastAsia="宋体" w:hAnsi="宋体"/>
          <w:b w:val="false"/>
          <w:bCs w:val="false"/>
          <w:i w:val="false"/>
          <w:iCs w:val="false"/>
          <w:sz w:val="24"/>
          <w:szCs w:val="24"/>
        </w:rPr>
        <w:t xml:space="preserve">卷积神经网络（Convolutional Neural Network, CNN）最初由LeCun等[13]为图像识别任务而设计，其核心思想是通过参数共享的卷积核在输入数据上滑动，提取局部区域的特征模式。在图像领域，卷积核捕捉边缘、纹理等二维空间特征；而在时间序列场景下，一维卷积（Conv1D）将卷积核沿时间轴方向滑动，能够有效检测固定时间窗口内的局部波动形态。</w:t>
      </w:r>
    </w:p>
    <w:p>
      <w:pPr>
        <w:spacing w:after="0" w:before="0" w:line="400" w:lineRule="exact"/>
        <w:ind w:firstLine="480"/>
        <w:jc w:val="both"/>
      </w:pPr>
      <w:r>
        <w:rPr>
          <w:rFonts w:ascii="宋体" w:cs="宋体" w:eastAsia="宋体" w:hAnsi="宋体"/>
          <w:b w:val="false"/>
          <w:bCs w:val="false"/>
          <w:i w:val="false"/>
          <w:iCs w:val="false"/>
          <w:sz w:val="24"/>
          <w:szCs w:val="24"/>
        </w:rPr>
        <w:t xml:space="preserve">一维卷积操作的数学定义如式（1）所示：</w:t>
      </w:r>
    </w:p>
    <w:p>
      <w:pPr>
        <w:spacing w:after="60" w:before="60" w:line="400" w:lineRule="exact"/>
        <w:jc w:val="center"/>
      </w:pPr>
      <w:r>
        <w:rPr>
          <w:rFonts w:ascii="Times New Roman" w:cs="Times New Roman" w:eastAsia="Times New Roman" w:hAnsi="Times New Roman"/>
          <w:i/>
          <w:iCs/>
          <w:sz w:val="24"/>
          <w:szCs w:val="24"/>
        </w:rPr>
        <w:t xml:space="preserve">y_i = f( Σ_{j=0}^{k-1} w_j · x_{i+j} + b )       （1）</w:t>
      </w:r>
    </w:p>
    <w:p>
      <w:pPr>
        <w:spacing w:after="0" w:before="0" w:line="400" w:lineRule="exact"/>
        <w:ind w:firstLine="480"/>
        <w:jc w:val="both"/>
      </w:pPr>
      <w:r>
        <w:rPr>
          <w:rFonts w:ascii="宋体" w:cs="宋体" w:eastAsia="宋体" w:hAnsi="宋体"/>
          <w:b w:val="false"/>
          <w:bCs w:val="false"/>
          <w:i w:val="false"/>
          <w:iCs w:val="false"/>
          <w:sz w:val="24"/>
          <w:szCs w:val="24"/>
        </w:rPr>
        <w:t xml:space="preserve">其中，x 为输入序列，w_j 为第 j 个卷积核权重，b 为偏置项，k 为卷积核大小，f 为激活函数（本文采用ReLU）。设定多个卷积核可以并行提取不同模式的局部特征，形成多通道的特征映射。</w:t>
      </w:r>
    </w:p>
    <w:p>
      <w:pPr>
        <w:spacing w:after="0" w:before="0" w:line="400" w:lineRule="exact"/>
        <w:ind w:firstLine="480"/>
        <w:jc w:val="both"/>
      </w:pPr>
      <w:r>
        <w:rPr>
          <w:rFonts w:ascii="宋体" w:cs="宋体" w:eastAsia="宋体" w:hAnsi="宋体"/>
          <w:b w:val="false"/>
          <w:bCs w:val="false"/>
          <w:i w:val="false"/>
          <w:iCs w:val="false"/>
          <w:sz w:val="24"/>
          <w:szCs w:val="24"/>
        </w:rPr>
        <w:t xml:space="preserve">卷积层之后通常连接最大池化层（MaxPooling1D）。池化操作在固定窗口内取最大激活值，起到降采样与增强平移不变性的双重作用：一方面减少后续网络层的计算量，另一方面使特征表示对时间轴上的微小位移不敏感，从而提高模型的鲁棒性。</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金融时序预测中，Conv1D的优势在于：股票价格序列往往蕴含具有固定时间尺度的局部规律，如"N日内快速拉升后回落"的旗形整理形态、"连续阴线缩量"的底部蓄力形态等。这类局部结构特征恰好是卷积核所擅长捕捉的对象，且由于参数共享，CNN的参数量远小于全连接层，在有限样本条件下具有更好的泛化能力。</w:t>
      </w:r>
    </w:p>
    <w:p>
      <w:pPr>
        <w:spacing w:after="100" w:before="200" w:line="480" w:lineRule="auto"/>
        <w:ind w:left="0" w:firstLine="0"/>
        <w:jc w:val="left"/>
      </w:pPr>
      <w:r>
        <w:rPr>
          <w:rFonts w:ascii="黑体" w:cs="黑体" w:eastAsia="黑体" w:hAnsi="黑体"/>
          <w:b/>
          <w:bCs/>
          <w:sz w:val="28"/>
          <w:szCs w:val="28"/>
        </w:rPr>
        <w:t xml:space="preserve">2.2  长短期记忆网络（LSTM）</w:t>
      </w:r>
    </w:p>
    <w:p>
      <w:pPr>
        <w:spacing w:after="0" w:before="0" w:line="400" w:lineRule="exact"/>
        <w:ind w:firstLine="480"/>
        <w:jc w:val="both"/>
      </w:pPr>
      <w:r>
        <w:rPr>
          <w:rFonts w:ascii="宋体" w:cs="宋体" w:eastAsia="宋体" w:hAnsi="宋体"/>
          <w:b w:val="false"/>
          <w:bCs w:val="false"/>
          <w:i w:val="false"/>
          <w:iCs w:val="false"/>
          <w:sz w:val="24"/>
          <w:szCs w:val="24"/>
        </w:rPr>
        <w:t xml:space="preserve">循环神经网络（Recurrent Neural Network, RNN）通过在相邻时间步之间传递隐藏状态 h_t 来建模序列数据。然而，标准RNN在反向传播时存在梯度消失（或梯度爆炸）问题，导致难以学习超过十步以上的长程时间依赖[14]。Hochreiter和Schmidhuber[15]于1997年提出的长短期记忆网络（Long Short-Term Memory, LSTM）通过引入细胞状态（Cell State）和三种可学习的门控机制，从根本上解决了梯度消失问题，使网络能够选择性地记忆和遗忘信息。</w:t>
      </w:r>
    </w:p>
    <w:p>
      <w:pPr>
        <w:spacing w:after="0" w:before="0" w:line="400" w:lineRule="exact"/>
        <w:ind w:firstLine="480"/>
        <w:jc w:val="both"/>
      </w:pPr>
      <w:r>
        <w:rPr>
          <w:rFonts w:ascii="宋体" w:cs="宋体" w:eastAsia="宋体" w:hAnsi="宋体"/>
          <w:b w:val="false"/>
          <w:bCs w:val="false"/>
          <w:i w:val="false"/>
          <w:iCs w:val="false"/>
          <w:sz w:val="24"/>
          <w:szCs w:val="24"/>
        </w:rPr>
        <w:t xml:space="preserve">LSTM的核心门控计算如式（2）—（5）所示：</w:t>
      </w:r>
    </w:p>
    <w:p>
      <w:pPr>
        <w:spacing w:after="60" w:before="60" w:line="400" w:lineRule="exact"/>
        <w:jc w:val="center"/>
      </w:pPr>
      <w:r>
        <w:rPr>
          <w:rFonts w:ascii="Times New Roman" w:cs="Times New Roman" w:eastAsia="Times New Roman" w:hAnsi="Times New Roman"/>
          <w:i/>
          <w:iCs/>
          <w:sz w:val="24"/>
          <w:szCs w:val="24"/>
        </w:rPr>
        <w:t xml:space="preserve">f_t = σ(W_f · [h_{t-1}, x_t] + b_f)       （2）</w:t>
      </w:r>
    </w:p>
    <w:p>
      <w:pPr>
        <w:spacing w:after="60" w:before="60" w:line="400" w:lineRule="exact"/>
        <w:jc w:val="center"/>
      </w:pPr>
      <w:r>
        <w:rPr>
          <w:rFonts w:ascii="Times New Roman" w:cs="Times New Roman" w:eastAsia="Times New Roman" w:hAnsi="Times New Roman"/>
          <w:i/>
          <w:iCs/>
          <w:sz w:val="24"/>
          <w:szCs w:val="24"/>
        </w:rPr>
        <w:t xml:space="preserve">i_t = σ(W_i · [h_{t-1}, x_t] + b_i),   C̃_t = tanh(W_C · [h_{t-1}, x_t] + b_C)       （3）</w:t>
      </w:r>
    </w:p>
    <w:p>
      <w:pPr>
        <w:spacing w:after="60" w:before="60" w:line="400" w:lineRule="exact"/>
        <w:jc w:val="center"/>
      </w:pPr>
      <w:r>
        <w:rPr>
          <w:rFonts w:ascii="Times New Roman" w:cs="Times New Roman" w:eastAsia="Times New Roman" w:hAnsi="Times New Roman"/>
          <w:i/>
          <w:iCs/>
          <w:sz w:val="24"/>
          <w:szCs w:val="24"/>
        </w:rPr>
        <w:t xml:space="preserve">C_t = f_t ⊙ C_{t-1} + i_t ⊙ C̃_t       （4）</w:t>
      </w:r>
    </w:p>
    <w:p>
      <w:pPr>
        <w:spacing w:after="60" w:before="60" w:line="400" w:lineRule="exact"/>
        <w:jc w:val="center"/>
      </w:pPr>
      <w:r>
        <w:rPr>
          <w:rFonts w:ascii="Times New Roman" w:cs="Times New Roman" w:eastAsia="Times New Roman" w:hAnsi="Times New Roman"/>
          <w:i/>
          <w:iCs/>
          <w:sz w:val="24"/>
          <w:szCs w:val="24"/>
        </w:rPr>
        <w:t xml:space="preserve">o_t = σ(W_o · [h_{t-1}, x_t] + b_o),   h_t = o_t ⊙ tanh(C_t)       （5）</w:t>
      </w:r>
    </w:p>
    <w:p>
      <w:pPr>
        <w:spacing w:after="0" w:before="0" w:line="400" w:lineRule="exact"/>
        <w:ind w:firstLine="480"/>
        <w:jc w:val="both"/>
      </w:pPr>
      <w:r>
        <w:rPr>
          <w:rFonts w:ascii="宋体" w:cs="宋体" w:eastAsia="宋体" w:hAnsi="宋体"/>
          <w:b w:val="false"/>
          <w:bCs w:val="false"/>
          <w:i w:val="false"/>
          <w:iCs w:val="false"/>
          <w:sz w:val="24"/>
          <w:szCs w:val="24"/>
        </w:rPr>
        <w:t xml:space="preserve">其中，σ 为Sigmoid激活函数，⊙ 表示逐元素乘法，C_t 为细胞状态，h_t 为隐藏状态。遗忘门 f_t 控制从上一时刻细胞状态中保留多少信息；输入门 i_t 和候选状态 C̃_t 共同决定写入多少新信息；输出门 o_t 控制当前时刻向外输出多少信息。三种门控的协同作用使LSTM能够根据任务需要，在数百个时间步的范围内有选择地保留关键历史信息。</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金融时序预测中，LSTM的优势体现在其对市场"记忆性"的建模能力——既能记住数周前的关键形态（如重要支撑位的突破或跌破），又能对近几日的最新动态保持敏感响应，这与技术分析师在实际操作中综合历史走势进行判断的思维方式高度契合。本文采用双层堆叠LSTM结构，第一层关注短中期局部动态，第二层在更抽象的特征空间上整合更长周期的规律。</w:t>
      </w:r>
    </w:p>
    <w:p>
      <w:pPr>
        <w:spacing w:after="100" w:before="200" w:line="480" w:lineRule="auto"/>
        <w:ind w:left="0" w:firstLine="0"/>
        <w:jc w:val="left"/>
      </w:pPr>
      <w:r>
        <w:rPr>
          <w:rFonts w:ascii="黑体" w:cs="黑体" w:eastAsia="黑体" w:hAnsi="黑体"/>
          <w:b/>
          <w:bCs/>
          <w:sz w:val="28"/>
          <w:szCs w:val="28"/>
        </w:rPr>
        <w:t xml:space="preserve">2.3  注意力机制</w:t>
      </w:r>
    </w:p>
    <w:p>
      <w:pPr>
        <w:spacing w:after="0" w:before="0" w:line="400" w:lineRule="exact"/>
        <w:ind w:firstLine="480"/>
        <w:jc w:val="both"/>
      </w:pPr>
      <w:r>
        <w:rPr>
          <w:rFonts w:ascii="宋体" w:cs="宋体" w:eastAsia="宋体" w:hAnsi="宋体"/>
          <w:b w:val="false"/>
          <w:bCs w:val="false"/>
          <w:i w:val="false"/>
          <w:iCs w:val="false"/>
          <w:sz w:val="24"/>
          <w:szCs w:val="24"/>
        </w:rPr>
        <w:t xml:space="preserve">注意力机制（Attention Mechanism）最初由Bahdanau等[16]在神经机器翻译任务中提出，其核心思想是：在对序列进行编码时，不是简单地将所有时间步的信息均等处理，而是根据当前预测任务的需要，动态计算各时间步对目标的贡献权重，并以此加权求和生成上下文向量。</w:t>
      </w:r>
    </w:p>
    <w:p>
      <w:pPr>
        <w:spacing w:after="0" w:before="0" w:line="400" w:lineRule="exact"/>
        <w:ind w:firstLine="480"/>
        <w:jc w:val="both"/>
      </w:pPr>
      <w:r>
        <w:rPr>
          <w:rFonts w:ascii="宋体" w:cs="宋体" w:eastAsia="宋体" w:hAnsi="宋体"/>
          <w:b w:val="false"/>
          <w:bCs w:val="false"/>
          <w:i w:val="false"/>
          <w:iCs w:val="false"/>
          <w:sz w:val="24"/>
          <w:szCs w:val="24"/>
        </w:rPr>
        <w:t xml:space="preserve">自注意力（Self-Attention）机制的计算流程如式（6）—（7）所示：</w:t>
      </w:r>
    </w:p>
    <w:p>
      <w:pPr>
        <w:spacing w:after="60" w:before="60" w:line="400" w:lineRule="exact"/>
        <w:jc w:val="center"/>
      </w:pPr>
      <w:r>
        <w:rPr>
          <w:rFonts w:ascii="Times New Roman" w:cs="Times New Roman" w:eastAsia="Times New Roman" w:hAnsi="Times New Roman"/>
          <w:i/>
          <w:iCs/>
          <w:sz w:val="24"/>
          <w:szCs w:val="24"/>
        </w:rPr>
        <w:t xml:space="preserve">score_i = V^T · tanh(W · h_i)       （6）</w:t>
      </w:r>
    </w:p>
    <w:p>
      <w:pPr>
        <w:spacing w:after="60" w:before="60" w:line="400" w:lineRule="exact"/>
        <w:jc w:val="center"/>
      </w:pPr>
      <w:r>
        <w:rPr>
          <w:rFonts w:ascii="Times New Roman" w:cs="Times New Roman" w:eastAsia="Times New Roman" w:hAnsi="Times New Roman"/>
          <w:i/>
          <w:iCs/>
          <w:sz w:val="24"/>
          <w:szCs w:val="24"/>
        </w:rPr>
        <w:t xml:space="preserve">α_i = exp(score_i) / Σ_{j} exp(score_j),   c = Σ_i α_i · h_i       （7）</w:t>
      </w:r>
    </w:p>
    <w:p>
      <w:pPr>
        <w:spacing w:after="0" w:before="0" w:line="400" w:lineRule="exact"/>
        <w:ind w:firstLine="480"/>
        <w:jc w:val="both"/>
      </w:pPr>
      <w:r>
        <w:rPr>
          <w:rFonts w:ascii="宋体" w:cs="宋体" w:eastAsia="宋体" w:hAnsi="宋体"/>
          <w:b w:val="false"/>
          <w:bCs w:val="false"/>
          <w:i w:val="false"/>
          <w:iCs w:val="false"/>
          <w:sz w:val="24"/>
          <w:szCs w:val="24"/>
        </w:rPr>
        <w:t xml:space="preserve">其中，h_i 为序列中第 i 个时间步的隐藏状态向量，W 和 V 为可学习参数，α_i 为归一化后的注意力权重，c 为最终的上下文表示向量。权重 α_i 的大小直接反映了第 i 个时间步对最终预测的贡献程度。</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风险预测场景下，注意力机制具有两方面重要作用：第一，它使模型能够自动聚焦于历史窗口内风险信号最强烈的时间步（如前几日出现的量价异常或技术形态破位），而非机械地使用最末时间步的隐藏状态；第二，注意力权重分布 {α_i} 具有可解释性——权重较高的时间步通常对应历史上重要的价格拐点，这为用户理解模型的决策依据提供了直观线索，使系统在输出风险概率的同时也具备一定的解释能力。</w:t>
      </w:r>
    </w:p>
    <w:p>
      <w:pPr>
        <w:spacing w:after="100" w:before="200" w:line="480" w:lineRule="auto"/>
        <w:ind w:left="0" w:firstLine="0"/>
        <w:jc w:val="left"/>
      </w:pPr>
      <w:r>
        <w:rPr>
          <w:rFonts w:ascii="黑体" w:cs="黑体" w:eastAsia="黑体" w:hAnsi="黑体"/>
          <w:b/>
          <w:bCs/>
          <w:sz w:val="28"/>
          <w:szCs w:val="28"/>
        </w:rPr>
        <w:t xml:space="preserve">2.4  技术栈概述</w:t>
      </w:r>
    </w:p>
    <w:p>
      <w:pPr>
        <w:spacing w:after="0" w:before="0" w:line="400" w:lineRule="exact"/>
        <w:ind w:firstLine="480"/>
        <w:jc w:val="both"/>
      </w:pPr>
      <w:r>
        <w:rPr>
          <w:rFonts w:ascii="宋体" w:cs="宋体" w:eastAsia="宋体" w:hAnsi="宋体"/>
          <w:b w:val="false"/>
          <w:bCs w:val="false"/>
          <w:i w:val="false"/>
          <w:iCs w:val="false"/>
          <w:sz w:val="24"/>
          <w:szCs w:val="24"/>
        </w:rPr>
        <w:t xml:space="preserve">本系统全部采用Python生态实现，各组件选型如表1所示。</w:t>
      </w:r>
    </w:p>
    <w:p>
      <w:pPr>
        <w:spacing w:line="400" w:lineRule="exact"/>
      </w:pPr>
      <w:r>
        <w:rPr>
          <w:rFonts w:ascii="宋体" w:cs="宋体" w:eastAsia="宋体" w:hAnsi="宋体"/>
          <w:sz w:val="24"/>
          <w:szCs w:val="24"/>
        </w:rPr>
        <w:t xml:space="preserve"/>
      </w:r>
    </w:p>
    <w:p>
      <w:pPr>
        <w:spacing w:after="40" w:before="120" w:line="400" w:lineRule="exact"/>
        <w:jc w:val="center"/>
      </w:pPr>
      <w:r>
        <w:rPr>
          <w:rFonts w:ascii="黑体" w:cs="黑体" w:eastAsia="黑体" w:hAnsi="黑体"/>
          <w:b w:val="false"/>
          <w:bCs w:val="false"/>
          <w:sz w:val="20"/>
          <w:szCs w:val="20"/>
        </w:rPr>
        <w:t xml:space="preserve">表1  系统主要技术组件及其版本</w:t>
      </w:r>
    </w:p>
    <w:tbl>
      <w:tblPr>
        <w:tblW w:type="dxa" w:w="8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1800"/>
        <w:gridCol w:w="1500"/>
        <w:gridCol w:w="3200"/>
      </w:tblGrid>
      <w:tr>
        <w:tc>
          <w:tcPr>
            <w:tcW w:type="dxa" w:w="18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组件类别</w:t>
            </w:r>
          </w:p>
        </w:tc>
        <w:tc>
          <w:tcPr>
            <w:tcW w:type="dxa" w:w="18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具体工具</w:t>
            </w:r>
          </w:p>
        </w:tc>
        <w:tc>
          <w:tcPr>
            <w:tcW w:type="dxa" w:w="15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版本要求</w:t>
            </w:r>
          </w:p>
        </w:tc>
        <w:tc>
          <w:tcPr>
            <w:tcW w:type="dxa" w:w="32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主要用途</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深度学习框架</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TensorFlow / Keras</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2.8.0</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CNN-LSTM-Attention模型构建与训练</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数据处理</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Pandas / NumPy</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1.3 / 1.21</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时间序列切片、滚动计算、矩阵运算</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机器学习工具</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scikit-learn / joblib</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0.24 / 1.1</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数据预处理、模型评估、持久化存储</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数据获取</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akshare</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1.7.0</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沪深A股及黄金日行情数据下载</w:t>
            </w:r>
          </w:p>
        </w:tc>
      </w:tr>
      <w:tr>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Web框架</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Streamlit</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1.10.0</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交互式预测应用界面构建</w:t>
            </w:r>
          </w:p>
        </w:tc>
      </w:tr>
      <w:tr>
        <w:tc>
          <w:tcPr>
            <w:tcW w:type="dxa" w:w="18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可视化</w:t>
            </w:r>
          </w:p>
        </w:tc>
        <w:tc>
          <w:tcPr>
            <w:tcW w:type="dxa" w:w="18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Plotly</w:t>
            </w:r>
          </w:p>
        </w:tc>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5.5.0</w:t>
            </w:r>
          </w:p>
        </w:tc>
        <w:tc>
          <w:tcPr>
            <w:tcW w:type="dxa" w:w="32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交互式价格走势与技术指标图表</w:t>
            </w:r>
          </w:p>
        </w:tc>
      </w:tr>
    </w:tbl>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TensorFlow 2.x选用Keras高级API进行模型定义，具有声明式的网络构建语法，支持eager execution模式便于调试，且拥有完善的回调机制（EarlyStopping、ModelCheckpoint）。akshare是国内使用最广泛的开源金融数据接口库，免费提供沪深股市、期货、黄金等多市场的历史与实时行情数据，接口稳定且持续维护更新。Streamlit采用纯Python编写即可生成响应式Web界面，无需前端开发经验，极大降低了将算法模型转化为可用应用的工程成本。</w:t>
      </w:r>
    </w:p>
    <w:p>
      <w:r>
        <w:br w:type="page"/>
      </w:r>
    </w:p>
    <w:p>
      <w:pPr>
        <w:spacing w:after="120" w:before="240" w:line="600" w:lineRule="auto"/>
        <w:ind w:left="0" w:firstLine="0"/>
        <w:jc w:val="left"/>
      </w:pPr>
      <w:r>
        <w:rPr>
          <w:rFonts w:ascii="黑体" w:cs="黑体" w:eastAsia="黑体" w:hAnsi="黑体"/>
          <w:b/>
          <w:bCs/>
          <w:sz w:val="30"/>
          <w:szCs w:val="30"/>
        </w:rPr>
        <w:t xml:space="preserve">3  系统总体设计</w:t>
      </w:r>
    </w:p>
    <w:p>
      <w:pPr>
        <w:spacing w:after="100" w:before="200" w:line="480" w:lineRule="auto"/>
        <w:ind w:left="0" w:firstLine="0"/>
        <w:jc w:val="left"/>
      </w:pPr>
      <w:r>
        <w:rPr>
          <w:rFonts w:ascii="黑体" w:cs="黑体" w:eastAsia="黑体" w:hAnsi="黑体"/>
          <w:b/>
          <w:bCs/>
          <w:sz w:val="28"/>
          <w:szCs w:val="28"/>
        </w:rPr>
        <w:t xml:space="preserve">3.1  需求分析</w:t>
      </w:r>
    </w:p>
    <w:p>
      <w:pPr>
        <w:spacing w:after="0" w:before="0" w:line="400" w:lineRule="exact"/>
        <w:ind w:firstLine="480"/>
        <w:jc w:val="both"/>
      </w:pPr>
      <w:r>
        <w:rPr>
          <w:rFonts w:ascii="宋体" w:cs="宋体" w:eastAsia="宋体" w:hAnsi="宋体"/>
          <w:b w:val="false"/>
          <w:bCs w:val="false"/>
          <w:i w:val="false"/>
          <w:iCs w:val="false"/>
          <w:sz w:val="24"/>
          <w:szCs w:val="24"/>
        </w:rPr>
        <w:t xml:space="preserve">本系统的目标用户为具有一定A股投资经验、但缺乏专业量化分析能力的个人投资者。通过对该群体典型使用场景的分析，整理出以下核心功能需求：</w:t>
      </w:r>
    </w:p>
    <w:p>
      <w:pPr>
        <w:spacing w:after="0" w:before="0" w:line="400" w:lineRule="exact"/>
        <w:ind/>
        <w:jc w:val="both"/>
      </w:pPr>
      <w:r>
        <w:rPr>
          <w:rFonts w:ascii="宋体" w:cs="宋体" w:eastAsia="宋体" w:hAnsi="宋体"/>
          <w:b w:val="false"/>
          <w:bCs w:val="false"/>
          <w:i w:val="false"/>
          <w:iCs w:val="false"/>
          <w:sz w:val="24"/>
          <w:szCs w:val="24"/>
        </w:rPr>
        <w:t xml:space="preserve">（1）数据自动获取：系统需能自动从互联网获取指定市场标的的历史和最新行情数据，无需用户手动下载或维护数据文件。</w:t>
      </w:r>
    </w:p>
    <w:p>
      <w:pPr>
        <w:spacing w:after="0" w:before="0" w:line="400" w:lineRule="exact"/>
        <w:ind/>
        <w:jc w:val="both"/>
      </w:pPr>
      <w:r>
        <w:rPr>
          <w:rFonts w:ascii="宋体" w:cs="宋体" w:eastAsia="宋体" w:hAnsi="宋体"/>
          <w:b w:val="false"/>
          <w:bCs w:val="false"/>
          <w:i w:val="false"/>
          <w:iCs w:val="false"/>
          <w:sz w:val="24"/>
          <w:szCs w:val="24"/>
        </w:rPr>
        <w:t xml:space="preserve">（2）风险概率预测：系统核心功能是对所选市场标的"次日大跌"风险进行量化预测，输出0~100%的风险概率值，并给出明确的高/低风险判断结论。</w:t>
      </w:r>
    </w:p>
    <w:p>
      <w:pPr>
        <w:spacing w:after="0" w:before="0" w:line="400" w:lineRule="exact"/>
        <w:ind/>
        <w:jc w:val="both"/>
      </w:pPr>
      <w:r>
        <w:rPr>
          <w:rFonts w:ascii="宋体" w:cs="宋体" w:eastAsia="宋体" w:hAnsi="宋体"/>
          <w:b w:val="false"/>
          <w:bCs w:val="false"/>
          <w:i w:val="false"/>
          <w:iCs w:val="false"/>
          <w:sz w:val="24"/>
          <w:szCs w:val="24"/>
        </w:rPr>
        <w:t xml:space="preserve">（3）风险原因说明：为增强预测结果的可信度，系统应基于最新数据状态自动生成文字解释，说明当前风险判断的主要依据。</w:t>
      </w:r>
    </w:p>
    <w:p>
      <w:pPr>
        <w:spacing w:after="0" w:before="0" w:line="400" w:lineRule="exact"/>
        <w:ind/>
        <w:jc w:val="both"/>
      </w:pPr>
      <w:r>
        <w:rPr>
          <w:rFonts w:ascii="宋体" w:cs="宋体" w:eastAsia="宋体" w:hAnsi="宋体"/>
          <w:b w:val="false"/>
          <w:bCs w:val="false"/>
          <w:i w:val="false"/>
          <w:iCs w:val="false"/>
          <w:sz w:val="24"/>
          <w:szCs w:val="24"/>
        </w:rPr>
        <w:t xml:space="preserve">（4）价格走势可视化：系统应展示近期价格走势折线图，叠加MA5和MA20均线，支持用户自行核查技术形态。</w:t>
      </w:r>
    </w:p>
    <w:p>
      <w:pPr>
        <w:spacing w:after="0" w:before="0" w:line="400" w:lineRule="exact"/>
        <w:ind/>
        <w:jc w:val="both"/>
      </w:pPr>
      <w:r>
        <w:rPr>
          <w:rFonts w:ascii="宋体" w:cs="宋体" w:eastAsia="宋体" w:hAnsi="宋体"/>
          <w:b w:val="false"/>
          <w:bCs w:val="false"/>
          <w:i w:val="false"/>
          <w:iCs w:val="false"/>
          <w:sz w:val="24"/>
          <w:szCs w:val="24"/>
        </w:rPr>
        <w:t xml:space="preserve">（5）多标的支持：系统应支持沪深300、上证指数、深证成指、创业板指和黄金等多个市场标的的切换预测。</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在非功能需求方面，系统要求单次预测响应时间不超过5秒，预测界面操作直观、无需代码干预，且能在普通家用电脑上正常运行（无需GPU加速）。</w:t>
      </w:r>
    </w:p>
    <w:p>
      <w:pPr>
        <w:spacing w:after="100" w:before="200" w:line="480" w:lineRule="auto"/>
        <w:ind w:left="0" w:firstLine="0"/>
        <w:jc w:val="left"/>
      </w:pPr>
      <w:r>
        <w:rPr>
          <w:rFonts w:ascii="黑体" w:cs="黑体" w:eastAsia="黑体" w:hAnsi="黑体"/>
          <w:b/>
          <w:bCs/>
          <w:sz w:val="28"/>
          <w:szCs w:val="28"/>
        </w:rPr>
        <w:t xml:space="preserve">3.2  系统总体架构</w:t>
      </w:r>
    </w:p>
    <w:p>
      <w:pPr>
        <w:spacing w:after="0" w:before="0" w:line="400" w:lineRule="exact"/>
        <w:ind w:firstLine="480"/>
        <w:jc w:val="both"/>
      </w:pPr>
      <w:r>
        <w:rPr>
          <w:rFonts w:ascii="宋体" w:cs="宋体" w:eastAsia="宋体" w:hAnsi="宋体"/>
          <w:b w:val="false"/>
          <w:bCs w:val="false"/>
          <w:i w:val="false"/>
          <w:iCs w:val="false"/>
          <w:sz w:val="24"/>
          <w:szCs w:val="24"/>
        </w:rPr>
        <w:t xml:space="preserve">系统采用分层架构设计，从底层到顶层依次为数据层、模型层和应用层三层（见图1）。数据层通过akshare API获取股票和黄金日行情数据，以CSV文件格式持久化存储在本地data目录；模型层包含特征工程、模型定义、模型训练与推理等核心计算逻辑；应用层基于Streamlit构建交互式Web界面，调用模型层功能并以图表、指标卡、文字说明等形式向用户呈现结果。</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7719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19075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图1  系统总体架构图</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这种三层分离设计的核心优势在于：模型逻辑与界面逻辑完全解耦，当需要升级模型架构时（如将CNN-LSTM替换为Transformer），只需修改模型层的相关文件，而数据层和应用层无需任何改动。同样，界面样式的调整也不影响底层模型的运行逻辑，整体架构具有良好的可扩展性和可维护性。</w:t>
      </w:r>
    </w:p>
    <w:p>
      <w:pPr>
        <w:spacing w:after="100" w:before="200" w:line="480" w:lineRule="auto"/>
        <w:ind w:left="0" w:firstLine="0"/>
        <w:jc w:val="left"/>
      </w:pPr>
      <w:r>
        <w:rPr>
          <w:rFonts w:ascii="黑体" w:cs="黑体" w:eastAsia="黑体" w:hAnsi="黑体"/>
          <w:b/>
          <w:bCs/>
          <w:sz w:val="28"/>
          <w:szCs w:val="28"/>
        </w:rPr>
        <w:t xml:space="preserve">3.3  技术选型</w:t>
      </w:r>
    </w:p>
    <w:p>
      <w:pPr>
        <w:spacing w:after="0" w:before="0" w:line="400" w:lineRule="exact"/>
        <w:ind w:firstLine="480"/>
        <w:jc w:val="both"/>
      </w:pPr>
      <w:r>
        <w:rPr>
          <w:rFonts w:ascii="宋体" w:cs="宋体" w:eastAsia="宋体" w:hAnsi="宋体"/>
          <w:b w:val="false"/>
          <w:bCs w:val="false"/>
          <w:i w:val="false"/>
          <w:iCs w:val="false"/>
          <w:sz w:val="24"/>
          <w:szCs w:val="24"/>
        </w:rPr>
        <w:t xml:space="preserve">在深度学习框架方面，本系统选用TensorFlow 2.x（Keras高级API）。相比PyTorch，TensorFlow在模型序列化（.h5格式保存与加载）和工业部署方面具有更成熟的支持，适合本系统"训练一次、多次推理"的使用模式。Keras高级API提供了简洁的声明式网络构建语法，内置EarlyStopping、ModelCheckpoint等实用回调，极大减少了训练样板代码的编写量。</w:t>
      </w:r>
    </w:p>
    <w:p>
      <w:pPr>
        <w:spacing w:after="0" w:before="0" w:line="400" w:lineRule="exact"/>
        <w:ind w:firstLine="480"/>
        <w:jc w:val="both"/>
      </w:pPr>
      <w:r>
        <w:rPr>
          <w:rFonts w:ascii="宋体" w:cs="宋体" w:eastAsia="宋体" w:hAnsi="宋体"/>
          <w:b w:val="false"/>
          <w:bCs w:val="false"/>
          <w:i w:val="false"/>
          <w:iCs w:val="false"/>
          <w:sz w:val="24"/>
          <w:szCs w:val="24"/>
        </w:rPr>
        <w:t xml:space="preserve">在数据获取方面，akshare相较于其他国内金融数据库（如Tushare、WindPy）的优势在于完全免费、无需注册Token即可使用，且提供了统一的DataFrame接口，极大简化了数据获取流程。系统通过stock_zh_index_daily()接口获取股票指数日K线，通过spot_golden_benchmark_sge()获取上海黄金交易所AU9999基准价格。</w:t>
      </w:r>
    </w:p>
    <w:p>
      <w:pPr>
        <w:spacing w:after="0" w:before="0" w:line="400" w:lineRule="exact"/>
        <w:ind w:firstLine="480"/>
        <w:jc w:val="both"/>
      </w:pPr>
      <w:r>
        <w:rPr>
          <w:rFonts w:ascii="宋体" w:cs="宋体" w:eastAsia="宋体" w:hAnsi="宋体"/>
          <w:b w:val="false"/>
          <w:bCs w:val="false"/>
          <w:i w:val="false"/>
          <w:iCs w:val="false"/>
          <w:sz w:val="24"/>
          <w:szCs w:val="24"/>
        </w:rPr>
        <w:t xml:space="preserve">在界面开发方面，Streamlit以纯Python编写即可生成响应式Web应用，开发效率比Flask/Django高出数倍，且天然支持数据帧、Plotly图表等数据科学常用组件的直接渲染，非常适合本系统的原型开发与快速迭代。</w:t>
      </w:r>
    </w:p>
    <w:p>
      <w:pPr>
        <w:spacing w:after="100" w:before="200" w:line="480" w:lineRule="auto"/>
        <w:ind w:left="0" w:firstLine="0"/>
        <w:jc w:val="left"/>
      </w:pPr>
      <w:r>
        <w:rPr>
          <w:rFonts w:ascii="黑体" w:cs="黑体" w:eastAsia="黑体" w:hAnsi="黑体"/>
          <w:b/>
          <w:bCs/>
          <w:sz w:val="28"/>
          <w:szCs w:val="28"/>
        </w:rPr>
        <w:t xml:space="preserve">3.4  模块划分</w:t>
      </w:r>
    </w:p>
    <w:p>
      <w:pPr>
        <w:spacing w:after="0" w:before="0" w:line="400" w:lineRule="exact"/>
        <w:ind w:firstLine="480"/>
        <w:jc w:val="both"/>
      </w:pPr>
      <w:r>
        <w:rPr>
          <w:rFonts w:ascii="宋体" w:cs="宋体" w:eastAsia="宋体" w:hAnsi="宋体"/>
          <w:b w:val="false"/>
          <w:bCs w:val="false"/>
          <w:i w:val="false"/>
          <w:iCs w:val="false"/>
          <w:sz w:val="24"/>
          <w:szCs w:val="24"/>
        </w:rPr>
        <w:t xml:space="preserve">系统按功能边界划分为5个主要模块，各模块的职责与文件对应关系如表2所示。</w:t>
      </w:r>
    </w:p>
    <w:p>
      <w:pPr>
        <w:spacing w:line="400" w:lineRule="exact"/>
      </w:pPr>
      <w:r>
        <w:rPr>
          <w:rFonts w:ascii="宋体" w:cs="宋体" w:eastAsia="宋体" w:hAnsi="宋体"/>
          <w:sz w:val="24"/>
          <w:szCs w:val="24"/>
        </w:rPr>
        <w:t xml:space="preserve"/>
      </w:r>
    </w:p>
    <w:p>
      <w:pPr>
        <w:spacing w:after="40" w:before="120" w:line="400" w:lineRule="exact"/>
        <w:jc w:val="center"/>
      </w:pPr>
      <w:r>
        <w:rPr>
          <w:rFonts w:ascii="黑体" w:cs="黑体" w:eastAsia="黑体" w:hAnsi="黑体"/>
          <w:b w:val="false"/>
          <w:bCs w:val="false"/>
          <w:sz w:val="20"/>
          <w:szCs w:val="20"/>
        </w:rPr>
        <w:t xml:space="preserve">表2  系统模块划分及职责说明</w:t>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400"/>
        <w:gridCol w:w="3800"/>
      </w:tblGrid>
      <w:tr>
        <w:tc>
          <w:tcPr>
            <w:tcW w:type="dxa" w:w="22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模块名称</w:t>
            </w:r>
          </w:p>
        </w:tc>
        <w:tc>
          <w:tcPr>
            <w:tcW w:type="dxa" w:w="24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对应文件</w:t>
            </w:r>
          </w:p>
        </w:tc>
        <w:tc>
          <w:tcPr>
            <w:tcW w:type="dxa" w:w="38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主要职责</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数据采集模块</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data_download.py</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调用akshare接口下载股票/黄金历史日行情，保存CSV文件</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数据处理模块</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data_process.py</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清洗缺失值、计算技术指标、构建风险标签、归一化处理</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模型定义模块</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model.py</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定义CNN-LSTM-Attention网络结构及编译配置</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模型训练模块</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train.py</w:t>
            </w:r>
          </w:p>
        </w:tc>
        <w:tc>
          <w:tcPr>
            <w:tcW w:type="dxa" w:w="38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时间窗口构建、训练流程控制、评估指标计算与输出</w:t>
            </w:r>
          </w:p>
        </w:tc>
      </w:tr>
      <w:tr>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预测与界面模块</w:t>
            </w:r>
          </w:p>
        </w:tc>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predict.py / app.py</w:t>
            </w:r>
          </w:p>
        </w:tc>
        <w:tc>
          <w:tcPr>
            <w:tcW w:type="dxa" w:w="38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实时预测推理、风险原因分析、Streamlit交互界面渲染</w:t>
            </w:r>
          </w:p>
        </w:tc>
      </w:tr>
    </w:tbl>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各模块之间的调用关系严格按照单向依赖原则组织：app.py调用predict.py完成推理，predict.py依赖model.py中的网络定义和data_process.py中的数据处理工具；train.py同样依赖model.py和data_process.py，但与predict.py相互独立，可以离线单独执行训练；data_download.py作为最底层模块，只负责数据下载，不依赖其他任何模块。这种单向、无环的依赖结构是软件工程中的最佳实践，确保了各模块的独立可测试性。</w:t>
      </w:r>
    </w:p>
    <w:p>
      <w:r>
        <w:br w:type="page"/>
      </w:r>
    </w:p>
    <w:p>
      <w:pPr>
        <w:spacing w:after="120" w:before="240" w:line="600" w:lineRule="auto"/>
        <w:ind w:left="0" w:firstLine="0"/>
        <w:jc w:val="left"/>
      </w:pPr>
      <w:r>
        <w:rPr>
          <w:rFonts w:ascii="黑体" w:cs="黑体" w:eastAsia="黑体" w:hAnsi="黑体"/>
          <w:b/>
          <w:bCs/>
          <w:sz w:val="30"/>
          <w:szCs w:val="30"/>
        </w:rPr>
        <w:t xml:space="preserve">4  模型设计与特征工程</w:t>
      </w:r>
    </w:p>
    <w:p>
      <w:pPr>
        <w:spacing w:after="100" w:before="200" w:line="480" w:lineRule="auto"/>
        <w:ind w:left="0" w:firstLine="0"/>
        <w:jc w:val="left"/>
      </w:pPr>
      <w:r>
        <w:rPr>
          <w:rFonts w:ascii="黑体" w:cs="黑体" w:eastAsia="黑体" w:hAnsi="黑体"/>
          <w:b/>
          <w:bCs/>
          <w:sz w:val="28"/>
          <w:szCs w:val="28"/>
        </w:rPr>
        <w:t xml:space="preserve">4.1  特征工程设计</w:t>
      </w:r>
    </w:p>
    <w:p>
      <w:pPr>
        <w:spacing w:after="0" w:before="0" w:line="400" w:lineRule="exact"/>
        <w:ind w:firstLine="480"/>
        <w:jc w:val="both"/>
      </w:pPr>
      <w:r>
        <w:rPr>
          <w:rFonts w:ascii="宋体" w:cs="宋体" w:eastAsia="宋体" w:hAnsi="宋体"/>
          <w:b w:val="false"/>
          <w:bCs w:val="false"/>
          <w:i w:val="false"/>
          <w:iCs w:val="false"/>
          <w:sz w:val="24"/>
          <w:szCs w:val="24"/>
        </w:rPr>
        <w:t xml:space="preserve">金融时间序列的特征质量是决定预测模型性能上限的关键因素。合理的特征设计应在保留足够信息量的同时避免特征间的多重共线性，减少冗余信息对模型的干扰。本系统设计了7维特征作为模型每个时间步的输入向量，特征构成及其说明见表3。</w:t>
      </w:r>
    </w:p>
    <w:p>
      <w:pPr>
        <w:spacing w:line="400" w:lineRule="exact"/>
      </w:pPr>
      <w:r>
        <w:rPr>
          <w:rFonts w:ascii="宋体" w:cs="宋体" w:eastAsia="宋体" w:hAnsi="宋体"/>
          <w:sz w:val="24"/>
          <w:szCs w:val="24"/>
        </w:rPr>
        <w:t xml:space="preserve"/>
      </w:r>
    </w:p>
    <w:p>
      <w:pPr>
        <w:spacing w:after="40" w:before="120" w:line="400" w:lineRule="exact"/>
        <w:jc w:val="center"/>
      </w:pPr>
      <w:r>
        <w:rPr>
          <w:rFonts w:ascii="黑体" w:cs="黑体" w:eastAsia="黑体" w:hAnsi="黑体"/>
          <w:b w:val="false"/>
          <w:bCs w:val="false"/>
          <w:sz w:val="20"/>
          <w:szCs w:val="20"/>
        </w:rPr>
        <w:t xml:space="preserve">表3  模型输入特征说明</w:t>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00"/>
        <w:gridCol w:w="1600"/>
        <w:gridCol w:w="2000"/>
        <w:gridCol w:w="3900"/>
      </w:tblGrid>
      <w:tr>
        <w:tc>
          <w:tcPr>
            <w:tcW w:type="dxa" w:w="9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特征编号</w:t>
            </w:r>
          </w:p>
        </w:tc>
        <w:tc>
          <w:tcPr>
            <w:tcW w:type="dxa" w:w="16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特征名称</w:t>
            </w:r>
          </w:p>
        </w:tc>
        <w:tc>
          <w:tcPr>
            <w:tcW w:type="dxa" w:w="20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计算方式</w:t>
            </w:r>
          </w:p>
        </w:tc>
        <w:tc>
          <w:tcPr>
            <w:tcW w:type="dxa" w:w="39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经济含义</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F1</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收盘价（close）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当日收盘价</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反映市场最终成交价格，是技术分析的基准价格</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F2</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开盘价（open）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当日开盘价</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反映隔夜信息集对市场的冲击，开盘跳空是重要信号</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F3</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最高价（high）</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当日最高价</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衡量日内上方压力与多方力量极限</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F4</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最低价（low）</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当日最低价</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衡量日内下方支撑与空方力量极限</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5日均线（MA5）</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近5日收盘价均值</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短期趋势指标，反映近一周价格重心</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F6</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20日均线（MA20）</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近20日收盘价均值</w:t>
            </w:r>
          </w:p>
        </w:tc>
        <w:tc>
          <w:tcPr>
            <w:tcW w:type="dxa" w:w="39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中期趋势指标，与MA5形成金叉/死叉信号</w:t>
            </w:r>
          </w:p>
        </w:tc>
      </w:tr>
      <w:tr>
        <w:tc>
          <w:tcPr>
            <w:tcW w:type="dxa" w:w="9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F7</w:t>
            </w:r>
          </w:p>
        </w:tc>
        <w:tc>
          <w:tcPr>
            <w:tcW w:type="dxa" w:w="16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20日波动率（Vol）</w:t>
            </w:r>
          </w:p>
        </w:tc>
        <w:tc>
          <w:tcPr>
            <w:tcW w:type="dxa" w:w="20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近20日收盘价标准差</w:t>
            </w:r>
          </w:p>
        </w:tc>
        <w:tc>
          <w:tcPr>
            <w:tcW w:type="dxa" w:w="39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量化价格离散程度，骤升时往往预示恐慌情绪与风险升高</w:t>
            </w:r>
          </w:p>
        </w:tc>
      </w:tr>
    </w:tbl>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在价格特征方面（F1-F4），四个价格维度共同构成了日K线的完整描述。其中，开盘价与收盘价之差反映了当日市场情绪的净变化；最高价与最低价之差（即日内振幅）反映了当日价格的波动烈度。两项均线特征（F5、F6）之间的位置关系尤为重要——当MA5由上向下穿越MA20（"死叉"）时，往往预示中短期下跌趋势的形成；而两线均向下运行时，空头力量通常较强。波动率特征（F7）是市场情绪的间接代理指标：当价格剧烈震荡时，波动率会在随后数日持续处于高位，这一惯性特征使其成为识别市场恐慌阶段的有效信号。</w:t>
      </w:r>
    </w:p>
    <w:p>
      <w:pPr>
        <w:spacing w:after="0" w:before="0" w:line="400" w:lineRule="exact"/>
        <w:ind w:firstLine="480"/>
        <w:jc w:val="both"/>
      </w:pPr>
      <w:r>
        <w:rPr>
          <w:rFonts w:ascii="宋体" w:cs="宋体" w:eastAsia="宋体" w:hAnsi="宋体"/>
          <w:b w:val="false"/>
          <w:bCs w:val="false"/>
          <w:i w:val="false"/>
          <w:iCs w:val="false"/>
          <w:sz w:val="24"/>
          <w:szCs w:val="24"/>
        </w:rPr>
        <w:t xml:space="preserve">图2展示了在包含更多技术指标的扩展版特征集中，各指标之间的皮尔逊相关系数热力图。从图中可以看出，close与MA5、MA20之间的相关系数高达0.92~0.95，说明均线特征高度追踪收盘价走势。这也从侧面验证了本系统7维特征设计的合理性：以收盘价作为基准，再加入捕捉趋势的均线和刻画风险情绪的波动率，在保留最重要信息的同时有效降低了特征空间的冗余维度。</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7719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308610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图2  技术指标特征相关性热力图</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在数据预处理环节，所有7个特征在输入模型前均采用Min-Max标准化将数值映射到[0,1]区间，如式（8）所示：</w:t>
      </w:r>
    </w:p>
    <w:p>
      <w:pPr>
        <w:spacing w:after="60" w:before="60" w:line="400" w:lineRule="exact"/>
        <w:jc w:val="center"/>
      </w:pPr>
      <w:r>
        <w:rPr>
          <w:rFonts w:ascii="Times New Roman" w:cs="Times New Roman" w:eastAsia="Times New Roman" w:hAnsi="Times New Roman"/>
          <w:i/>
          <w:iCs/>
          <w:sz w:val="24"/>
          <w:szCs w:val="24"/>
        </w:rPr>
        <w:t xml:space="preserve">x_norm = (x - x_min) / (x_max - x_min)       （8）</w:t>
      </w:r>
    </w:p>
    <w:p>
      <w:pPr>
        <w:spacing w:after="0" w:before="0" w:line="400" w:lineRule="exact"/>
        <w:ind w:firstLine="480"/>
        <w:jc w:val="both"/>
      </w:pPr>
      <w:r>
        <w:rPr>
          <w:rFonts w:ascii="宋体" w:cs="宋体" w:eastAsia="宋体" w:hAnsi="宋体"/>
          <w:b w:val="false"/>
          <w:bCs w:val="false"/>
          <w:i w:val="false"/>
          <w:iCs w:val="false"/>
          <w:sz w:val="24"/>
          <w:szCs w:val="24"/>
        </w:rPr>
        <w:t xml:space="preserve">标准化器在训练阶段用全量训练数据拟合，并以joblib格式保存为pkl文件。在推理阶段直接加载使用已拟合的标准化器，确保训练与预测阶段的数据分布严格一致，避免了数据泄露问题。</w:t>
      </w:r>
    </w:p>
    <w:p>
      <w:pPr>
        <w:spacing w:after="0" w:before="0" w:line="400" w:lineRule="exact"/>
        <w:ind w:firstLine="480"/>
        <w:jc w:val="both"/>
      </w:pPr>
      <w:r>
        <w:rPr>
          <w:rFonts w:ascii="宋体" w:cs="宋体" w:eastAsia="宋体" w:hAnsi="宋体"/>
          <w:b w:val="false"/>
          <w:bCs w:val="false"/>
          <w:i w:val="false"/>
          <w:iCs w:val="false"/>
          <w:sz w:val="24"/>
          <w:szCs w:val="24"/>
        </w:rPr>
        <w:t xml:space="preserve">风险标签的构建规则如式（9）所示。次日收益率低于-1.5%定义为风险事件（label=1），否则为正常（label=0）：</w:t>
      </w:r>
    </w:p>
    <w:p>
      <w:pPr>
        <w:spacing w:after="60" w:before="60" w:line="400" w:lineRule="exact"/>
        <w:jc w:val="center"/>
      </w:pPr>
      <w:r>
        <w:rPr>
          <w:rFonts w:ascii="Times New Roman" w:cs="Times New Roman" w:eastAsia="Times New Roman" w:hAnsi="Times New Roman"/>
          <w:i/>
          <w:iCs/>
          <w:sz w:val="24"/>
          <w:szCs w:val="24"/>
        </w:rPr>
        <w:t xml:space="preserve">label_t = 1  if  (P_{t+1} - P_t) / P_t &lt; -0.015  else  0       （9）</w:t>
      </w:r>
    </w:p>
    <w:p>
      <w:pPr>
        <w:spacing w:after="0" w:before="0" w:line="400" w:lineRule="exact"/>
        <w:ind w:firstLine="480"/>
        <w:jc w:val="both"/>
      </w:pPr>
      <w:r>
        <w:rPr>
          <w:rFonts w:ascii="宋体" w:cs="宋体" w:eastAsia="宋体" w:hAnsi="宋体"/>
          <w:b w:val="false"/>
          <w:bCs w:val="false"/>
          <w:i w:val="false"/>
          <w:iCs w:val="false"/>
          <w:sz w:val="24"/>
          <w:szCs w:val="24"/>
        </w:rPr>
        <w:t xml:space="preserve">以沪深300指数2005-2024年约4900个交易日为例，按此规则共生成约880个风险样本（占比约18%）和约4020个正常样本（占比约82%），呈现明显的类别不平衡。图3展示了数据集的样本类别分布情况。</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429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171450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图3  数据集样本类别分布（正常/风险）</w:t>
      </w:r>
    </w:p>
    <w:p>
      <w:pPr>
        <w:spacing w:line="400" w:lineRule="exact"/>
      </w:pPr>
      <w:r>
        <w:rPr>
          <w:rFonts w:ascii="宋体" w:cs="宋体" w:eastAsia="宋体" w:hAnsi="宋体"/>
          <w:sz w:val="24"/>
          <w:szCs w:val="24"/>
        </w:rPr>
        <w:t xml:space="preserve"/>
      </w:r>
    </w:p>
    <w:p>
      <w:pPr>
        <w:spacing w:after="100" w:before="200" w:line="480" w:lineRule="auto"/>
        <w:ind w:left="0" w:firstLine="0"/>
        <w:jc w:val="left"/>
      </w:pPr>
      <w:r>
        <w:rPr>
          <w:rFonts w:ascii="黑体" w:cs="黑体" w:eastAsia="黑体" w:hAnsi="黑体"/>
          <w:b/>
          <w:bCs/>
          <w:sz w:val="28"/>
          <w:szCs w:val="28"/>
        </w:rPr>
        <w:t xml:space="preserve">4.2  CNN-LSTM-Attention模型设计</w:t>
      </w:r>
    </w:p>
    <w:p>
      <w:pPr>
        <w:spacing w:after="0" w:before="0" w:line="400" w:lineRule="exact"/>
        <w:ind w:firstLine="480"/>
        <w:jc w:val="both"/>
      </w:pPr>
      <w:r>
        <w:rPr>
          <w:rFonts w:ascii="宋体" w:cs="宋体" w:eastAsia="宋体" w:hAnsi="宋体"/>
          <w:b w:val="false"/>
          <w:bCs w:val="false"/>
          <w:i w:val="false"/>
          <w:iCs w:val="false"/>
          <w:sz w:val="24"/>
          <w:szCs w:val="24"/>
        </w:rPr>
        <w:t xml:space="preserve">本文提出的CNN-LSTM-Attention混合模型由五个部分依次堆叠：输入层、CNN特征提取层、LSTM时序建模层、Attention加权层和全连接分类层（见图4）。模型接收形状为（30, 7）的输入张量，经过层次化特征学习后，由最终的Sigmoid激活层输出一个0到1之间的风险概率值。</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7719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260985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图4  CNN-LSTM-Attention混合模型结构图</w:t>
      </w:r>
    </w:p>
    <w:p>
      <w:pPr>
        <w:spacing w:line="400" w:lineRule="exact"/>
      </w:pPr>
      <w:r>
        <w:rPr>
          <w:rFonts w:ascii="宋体" w:cs="宋体" w:eastAsia="宋体" w:hAnsi="宋体"/>
          <w:sz w:val="24"/>
          <w:szCs w:val="24"/>
        </w:rPr>
        <w:t xml:space="preserve"/>
      </w:r>
    </w:p>
    <w:p>
      <w:pPr>
        <w:spacing w:after="80" w:before="160" w:line="360" w:lineRule="auto"/>
        <w:ind w:left="0" w:firstLine="0"/>
        <w:jc w:val="left"/>
      </w:pPr>
      <w:r>
        <w:rPr>
          <w:rFonts w:ascii="宋体" w:cs="宋体" w:eastAsia="宋体" w:hAnsi="宋体"/>
          <w:b/>
          <w:bCs/>
          <w:sz w:val="24"/>
          <w:szCs w:val="24"/>
        </w:rPr>
        <w:t xml:space="preserve">4.2.1  CNN特征提取层</w:t>
      </w:r>
    </w:p>
    <w:p>
      <w:pPr>
        <w:spacing w:after="0" w:before="0" w:line="400" w:lineRule="exact"/>
        <w:ind w:firstLine="480"/>
        <w:jc w:val="both"/>
      </w:pPr>
      <w:r>
        <w:rPr>
          <w:rFonts w:ascii="宋体" w:cs="宋体" w:eastAsia="宋体" w:hAnsi="宋体"/>
          <w:b w:val="false"/>
          <w:bCs w:val="false"/>
          <w:i w:val="false"/>
          <w:iCs w:val="false"/>
          <w:sz w:val="24"/>
          <w:szCs w:val="24"/>
        </w:rPr>
        <w:t xml:space="preserve">CNN特征提取层由两个串联的Conv1D-MaxPooling1D子块构成。第一个子块使用64个卷积核（kernel_size=3，padding="same"，ReLU激活），配合pool_size=2的最大池化；第二个子块升级为128个卷积核（其余参数相同）。两层堆叠的卷积设计遵循特征由简单到复杂、由具体到抽象的层次化提取原则：第一层卷积核提取原始价格序列中的基础局部形态（如单日大阴线、三日连续阴线等），第二层在更高抽象层次上捕捉跨越多个基础形态的复合走势规律（如"高位十字星+跳空低开"的顶部反转形态）。padding="same"的设置使卷积输出与输入保持相同的时间长度，避免了边缘信息的丢失。</w:t>
      </w:r>
    </w:p>
    <w:p>
      <w:pPr>
        <w:spacing w:after="80" w:before="160" w:line="360" w:lineRule="auto"/>
        <w:ind w:left="0" w:firstLine="0"/>
        <w:jc w:val="left"/>
      </w:pPr>
      <w:r>
        <w:rPr>
          <w:rFonts w:ascii="宋体" w:cs="宋体" w:eastAsia="宋体" w:hAnsi="宋体"/>
          <w:b/>
          <w:bCs/>
          <w:sz w:val="24"/>
          <w:szCs w:val="24"/>
        </w:rPr>
        <w:t xml:space="preserve">4.2.2  LSTM时序建模层</w:t>
      </w:r>
    </w:p>
    <w:p>
      <w:pPr>
        <w:spacing w:after="0" w:before="0" w:line="400" w:lineRule="exact"/>
        <w:ind w:firstLine="480"/>
        <w:jc w:val="both"/>
      </w:pPr>
      <w:r>
        <w:rPr>
          <w:rFonts w:ascii="宋体" w:cs="宋体" w:eastAsia="宋体" w:hAnsi="宋体"/>
          <w:b w:val="false"/>
          <w:bCs w:val="false"/>
          <w:i w:val="false"/>
          <w:iCs w:val="false"/>
          <w:sz w:val="24"/>
          <w:szCs w:val="24"/>
        </w:rPr>
        <w:t xml:space="preserve">LSTM层接收CNN输出的特征序列，进行时序依赖关系的建模。本文采用双层堆叠LSTM：第一层含128个隐藏单元（return_sequences=True），第二层含64个隐藏单元（return_sequences=True）。设置return_sequences=True是因为后续Attention层需要访问所有时间步的隐藏状态，而非仅使用最末时刻的输出。</w:t>
      </w:r>
    </w:p>
    <w:p>
      <w:pPr>
        <w:spacing w:after="0" w:before="0" w:line="400" w:lineRule="exact"/>
        <w:ind w:firstLine="480"/>
        <w:jc w:val="both"/>
      </w:pPr>
      <w:r>
        <w:rPr>
          <w:rFonts w:ascii="宋体" w:cs="宋体" w:eastAsia="宋体" w:hAnsi="宋体"/>
          <w:b w:val="false"/>
          <w:bCs w:val="false"/>
          <w:i w:val="false"/>
          <w:iCs w:val="false"/>
          <w:sz w:val="24"/>
          <w:szCs w:val="24"/>
        </w:rPr>
        <w:t xml:space="preserve">双层堆叠LSTM的核心优势在于：第一层LSTM在较低抽象层次上学习CNN特征序列的短中期依赖（如近1~2周的趋势延续或反转），第二层LSTM在更高抽象的特征空间上整合更长周期的规律性（如月线级别的顶底背离、量价关系的长期变化等）。两层网络共同作用，使模型具备多尺度时序建模能力，能够同时关注短期信号和中长期背景。</w:t>
      </w:r>
    </w:p>
    <w:p>
      <w:pPr>
        <w:spacing w:after="80" w:before="160" w:line="360" w:lineRule="auto"/>
        <w:ind w:left="0" w:firstLine="0"/>
        <w:jc w:val="left"/>
      </w:pPr>
      <w:r>
        <w:rPr>
          <w:rFonts w:ascii="宋体" w:cs="宋体" w:eastAsia="宋体" w:hAnsi="宋体"/>
          <w:b/>
          <w:bCs/>
          <w:sz w:val="24"/>
          <w:szCs w:val="24"/>
        </w:rPr>
        <w:t xml:space="preserve">4.2.3  Attention加权层</w:t>
      </w:r>
    </w:p>
    <w:p>
      <w:pPr>
        <w:spacing w:after="0" w:before="0" w:line="400" w:lineRule="exact"/>
        <w:ind w:firstLine="480"/>
        <w:jc w:val="both"/>
      </w:pPr>
      <w:r>
        <w:rPr>
          <w:rFonts w:ascii="宋体" w:cs="宋体" w:eastAsia="宋体" w:hAnsi="宋体"/>
          <w:b w:val="false"/>
          <w:bCs w:val="false"/>
          <w:i w:val="false"/>
          <w:iCs w:val="false"/>
          <w:sz w:val="24"/>
          <w:szCs w:val="24"/>
        </w:rPr>
        <w:t xml:space="preserve">Attention层接收第二层LSTM输出的完整序列（形状为[batch, T, 64]，T为经过池化压缩后的时间步数），通过自注意力机制计算各时间步的重要性权重，并据此对序列进行加权聚合，生成固定维度的全局上下文表示。</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风险预测场景中，Attention机制的关键作用在于：并非所有历史时间步对预测次日大跌的贡献相等。例如，当历史窗口中某日出现了大幅放量跌停、或者均线系统发生"死叉"时，这些关键时间步应获得更高的注意力权重，以便模型更充分地利用这些强烈的风险信号进行判断。通过学习参数 W 和 V，Attention层使模型能够自适应地聚焦关键时刻，而无需人工指定规则。</w:t>
      </w:r>
    </w:p>
    <w:p>
      <w:pPr>
        <w:spacing w:after="80" w:before="160" w:line="360" w:lineRule="auto"/>
        <w:ind w:left="0" w:firstLine="0"/>
        <w:jc w:val="left"/>
      </w:pPr>
      <w:r>
        <w:rPr>
          <w:rFonts w:ascii="宋体" w:cs="宋体" w:eastAsia="宋体" w:hAnsi="宋体"/>
          <w:b/>
          <w:bCs/>
          <w:sz w:val="24"/>
          <w:szCs w:val="24"/>
        </w:rPr>
        <w:t xml:space="preserve">4.2.4  全连接分类层</w:t>
      </w:r>
    </w:p>
    <w:p>
      <w:pPr>
        <w:spacing w:after="0" w:before="0" w:line="400" w:lineRule="exact"/>
        <w:ind w:firstLine="480"/>
        <w:jc w:val="both"/>
      </w:pPr>
      <w:r>
        <w:rPr>
          <w:rFonts w:ascii="宋体" w:cs="宋体" w:eastAsia="宋体" w:hAnsi="宋体"/>
          <w:b w:val="false"/>
          <w:bCs w:val="false"/>
          <w:i w:val="false"/>
          <w:iCs w:val="false"/>
          <w:sz w:val="24"/>
          <w:szCs w:val="24"/>
        </w:rPr>
        <w:t xml:space="preserve">Attention层的加权输出经Flatten操作展平后，依次通过两个全连接层和一个Dropout层完成最终的分类决策。第一个全连接层含64个神经元（ReLU激活），用于在高维特征空间中进行非线性变换；随后的Dropout层（丢弃率0.5）在训练时随机屏蔽50%的神经元输出，抑制神经元间的共适应关系，显著提升模型的泛化能力；第二个全连接层含32个神经元（ReLU激活），进一步压缩特征维度；最终由单神经元Sigmoid输出层将特征映射到[0,1]的风险概率空间。</w:t>
      </w:r>
    </w:p>
    <w:p>
      <w:pPr>
        <w:spacing w:after="0" w:before="0" w:line="400" w:lineRule="exact"/>
        <w:ind w:firstLine="480"/>
        <w:jc w:val="both"/>
      </w:pPr>
      <w:r>
        <w:rPr>
          <w:rFonts w:ascii="宋体" w:cs="宋体" w:eastAsia="宋体" w:hAnsi="宋体"/>
          <w:b w:val="false"/>
          <w:bCs w:val="false"/>
          <w:i w:val="false"/>
          <w:iCs w:val="false"/>
          <w:sz w:val="24"/>
          <w:szCs w:val="24"/>
        </w:rPr>
        <w:t xml:space="preserve">模型的决策阈值设定为0.5：当预测概率 p &gt; 0.5 时，判定为"存在大跌风险"；当 p ≤ 0.5 时，判定为"安全"。在实际使用中，可根据用户的风险偏好适当调低阈值（如0.35），以提高召回率，减少漏报。整个模型的可学习参数约为280万，在普通4核CPU上的单次前向推理耗时约0.3秒，满足实时预测的响应时间要求。</w:t>
      </w:r>
    </w:p>
    <w:p>
      <w:pPr>
        <w:spacing w:after="100" w:before="200" w:line="480" w:lineRule="auto"/>
        <w:ind w:left="0" w:firstLine="0"/>
        <w:jc w:val="left"/>
      </w:pPr>
      <w:r>
        <w:rPr>
          <w:rFonts w:ascii="黑体" w:cs="黑体" w:eastAsia="黑体" w:hAnsi="黑体"/>
          <w:b/>
          <w:bCs/>
          <w:sz w:val="28"/>
          <w:szCs w:val="28"/>
        </w:rPr>
        <w:t xml:space="preserve">4.3  模型训练策略</w:t>
      </w:r>
    </w:p>
    <w:p>
      <w:pPr>
        <w:spacing w:after="0" w:before="0" w:line="400" w:lineRule="exact"/>
        <w:ind w:firstLine="480"/>
        <w:jc w:val="both"/>
      </w:pPr>
      <w:r>
        <w:rPr>
          <w:rFonts w:ascii="宋体" w:cs="宋体" w:eastAsia="宋体" w:hAnsi="宋体"/>
          <w:b w:val="false"/>
          <w:bCs w:val="false"/>
          <w:i w:val="false"/>
          <w:iCs w:val="false"/>
          <w:sz w:val="24"/>
          <w:szCs w:val="24"/>
        </w:rPr>
        <w:t xml:space="preserve">训练策略的设计重点围绕解决类别不平衡和防止过拟合两个核心问题展开，具体采用了以下四项措施。</w:t>
      </w:r>
    </w:p>
    <w:p>
      <w:pPr>
        <w:spacing w:after="80" w:before="160" w:line="360" w:lineRule="auto"/>
        <w:ind w:left="0" w:firstLine="0"/>
        <w:jc w:val="left"/>
      </w:pPr>
      <w:r>
        <w:rPr>
          <w:rFonts w:ascii="宋体" w:cs="宋体" w:eastAsia="宋体" w:hAnsi="宋体"/>
          <w:b/>
          <w:bCs/>
          <w:sz w:val="24"/>
          <w:szCs w:val="24"/>
        </w:rPr>
        <w:t xml:space="preserve">4.3.1  动态类别权重</w:t>
      </w:r>
    </w:p>
    <w:p>
      <w:pPr>
        <w:spacing w:after="0" w:before="0" w:line="400" w:lineRule="exact"/>
        <w:ind w:firstLine="480"/>
        <w:jc w:val="both"/>
      </w:pPr>
      <w:r>
        <w:rPr>
          <w:rFonts w:ascii="宋体" w:cs="宋体" w:eastAsia="宋体" w:hAnsi="宋体"/>
          <w:b w:val="false"/>
          <w:bCs w:val="false"/>
          <w:i w:val="false"/>
          <w:iCs w:val="false"/>
          <w:sz w:val="24"/>
          <w:szCs w:val="24"/>
        </w:rPr>
        <w:t xml:space="preserve">类别权重是解决不平衡分类问题的最直接方法，其核心思想是在计算损失时为少数类样本赋予更高的权重，从而强制模型对少数类预测给予更多关注。本系统以各类样本数量之比的倒数作为权重，如式（10）所示：</w:t>
      </w:r>
    </w:p>
    <w:p>
      <w:pPr>
        <w:spacing w:after="60" w:before="60" w:line="400" w:lineRule="exact"/>
        <w:jc w:val="center"/>
      </w:pPr>
      <w:r>
        <w:rPr>
          <w:rFonts w:ascii="Times New Roman" w:cs="Times New Roman" w:eastAsia="Times New Roman" w:hAnsi="Times New Roman"/>
          <w:i/>
          <w:iCs/>
          <w:sz w:val="24"/>
          <w:szCs w:val="24"/>
        </w:rPr>
        <w:t xml:space="preserve">w_k = N_total / (K · N_k)       （10）</w:t>
      </w:r>
    </w:p>
    <w:p>
      <w:pPr>
        <w:spacing w:after="0" w:before="0" w:line="400" w:lineRule="exact"/>
        <w:ind w:firstLine="480"/>
        <w:jc w:val="both"/>
      </w:pPr>
      <w:r>
        <w:rPr>
          <w:rFonts w:ascii="宋体" w:cs="宋体" w:eastAsia="宋体" w:hAnsi="宋体"/>
          <w:b w:val="false"/>
          <w:bCs w:val="false"/>
          <w:i w:val="false"/>
          <w:iCs w:val="false"/>
          <w:sz w:val="24"/>
          <w:szCs w:val="24"/>
        </w:rPr>
        <w:t xml:space="preserve">其中 N_total 为总样本数，K 为类别数（本文 K=2），N_k 为第 k 类的样本数。以沪深300数据为例，风险样本约占18%，故风险类别权重约为正常类别的4.5倍。该权重通过TensorFlow的 class_weight 参数传入 model.fit()，使得每批次的有效风险样本贡献与正常样本相当。</w:t>
      </w:r>
    </w:p>
    <w:p>
      <w:pPr>
        <w:spacing w:after="80" w:before="160" w:line="360" w:lineRule="auto"/>
        <w:ind w:left="0" w:firstLine="0"/>
        <w:jc w:val="left"/>
      </w:pPr>
      <w:r>
        <w:rPr>
          <w:rFonts w:ascii="宋体" w:cs="宋体" w:eastAsia="宋体" w:hAnsi="宋体"/>
          <w:b/>
          <w:bCs/>
          <w:sz w:val="24"/>
          <w:szCs w:val="24"/>
        </w:rPr>
        <w:t xml:space="preserve">4.3.2  早停机制与模型检查点</w:t>
      </w:r>
    </w:p>
    <w:p>
      <w:pPr>
        <w:spacing w:after="0" w:before="0" w:line="400" w:lineRule="exact"/>
        <w:ind w:firstLine="480"/>
        <w:jc w:val="both"/>
      </w:pPr>
      <w:r>
        <w:rPr>
          <w:rFonts w:ascii="宋体" w:cs="宋体" w:eastAsia="宋体" w:hAnsi="宋体"/>
          <w:b w:val="false"/>
          <w:bCs w:val="false"/>
          <w:i w:val="false"/>
          <w:iCs w:val="false"/>
          <w:sz w:val="24"/>
          <w:szCs w:val="24"/>
        </w:rPr>
        <w:t xml:space="preserve">早停（Early Stopping）机制监控验证集损失，当连续10个epoch（patience=10）验证集损失不再下降时，自动终止训练并恢复最优权重。这一机制有效防止了过多训练轮次导致的过拟合，同时节省了不必要的计算资源。与早停配合使用的ModelCheckpoint回调在每个epoch结束时评估验证集准确率，将表现最优的模型权重自动保存为.h5文件，确保最终加载的模型是整个训练过程中性能最好的版本。</w:t>
      </w:r>
    </w:p>
    <w:p>
      <w:pPr>
        <w:spacing w:after="80" w:before="160" w:line="360" w:lineRule="auto"/>
        <w:ind w:left="0" w:firstLine="0"/>
        <w:jc w:val="left"/>
      </w:pPr>
      <w:r>
        <w:rPr>
          <w:rFonts w:ascii="宋体" w:cs="宋体" w:eastAsia="宋体" w:hAnsi="宋体"/>
          <w:b/>
          <w:bCs/>
          <w:sz w:val="24"/>
          <w:szCs w:val="24"/>
        </w:rPr>
        <w:t xml:space="preserve">4.3.3  时序数据集划分</w:t>
      </w:r>
    </w:p>
    <w:p>
      <w:pPr>
        <w:spacing w:after="0" w:before="0" w:line="400" w:lineRule="exact"/>
        <w:ind w:firstLine="480"/>
        <w:jc w:val="both"/>
      </w:pPr>
      <w:r>
        <w:rPr>
          <w:rFonts w:ascii="宋体" w:cs="宋体" w:eastAsia="宋体" w:hAnsi="宋体"/>
          <w:b w:val="false"/>
          <w:bCs w:val="false"/>
          <w:i w:val="false"/>
          <w:iCs w:val="false"/>
          <w:sz w:val="24"/>
          <w:szCs w:val="24"/>
        </w:rPr>
        <w:t xml:space="preserve">有别于随机划分数据集的常规做法，本系统严格按照时间顺序对数据集进行分割：最早80%的样本构成训练集，最晚20%的样本构成测试集（由于早停机制会使用验证集，从训练集中再按时间顺序取后10%作为内嵌验证集）。这种时序划分方式模拟了真实部署场景：模型只能看到历史数据，对未来数据进行预测，完全规避了"用未来数据预测过去"的信息泄露问题，使评估结果具有更高的实际参考价值。</w:t>
      </w:r>
    </w:p>
    <w:p>
      <w:r>
        <w:br w:type="page"/>
      </w:r>
    </w:p>
    <w:p>
      <w:pPr>
        <w:spacing w:after="120" w:before="240" w:line="600" w:lineRule="auto"/>
        <w:ind w:left="0" w:firstLine="0"/>
        <w:jc w:val="left"/>
      </w:pPr>
      <w:r>
        <w:rPr>
          <w:rFonts w:ascii="黑体" w:cs="黑体" w:eastAsia="黑体" w:hAnsi="黑体"/>
          <w:b/>
          <w:bCs/>
          <w:sz w:val="30"/>
          <w:szCs w:val="30"/>
        </w:rPr>
        <w:t xml:space="preserve">5  系统实现</w:t>
      </w:r>
    </w:p>
    <w:p>
      <w:pPr>
        <w:spacing w:after="100" w:before="200" w:line="480" w:lineRule="auto"/>
        <w:ind w:left="0" w:firstLine="0"/>
        <w:jc w:val="left"/>
      </w:pPr>
      <w:r>
        <w:rPr>
          <w:rFonts w:ascii="黑体" w:cs="黑体" w:eastAsia="黑体" w:hAnsi="黑体"/>
          <w:b/>
          <w:bCs/>
          <w:sz w:val="28"/>
          <w:szCs w:val="28"/>
        </w:rPr>
        <w:t xml:space="preserve">5.1  数据采集与处理模块</w:t>
      </w:r>
    </w:p>
    <w:p>
      <w:pPr>
        <w:spacing w:after="0" w:before="0" w:line="400" w:lineRule="exact"/>
        <w:ind w:firstLine="480"/>
        <w:jc w:val="both"/>
      </w:pPr>
      <w:r>
        <w:rPr>
          <w:rFonts w:ascii="宋体" w:cs="宋体" w:eastAsia="宋体" w:hAnsi="宋体"/>
          <w:b w:val="false"/>
          <w:bCs w:val="false"/>
          <w:i w:val="false"/>
          <w:iCs w:val="false"/>
          <w:sz w:val="24"/>
          <w:szCs w:val="24"/>
        </w:rPr>
        <w:t xml:space="preserve">数据采集模块（data_download.py）负责通过akshare接口下载历史行情数据。对于股票指数数据，调用stock_zh_index_daily(symbol="sh000300")获取沪深300指数自上市以来的完整日K线数据，字段包含date、open、close、high、low、volume等；对于黄金数据，调用spot_golden_benchmark_sge()获取上海黄金交易所AU9999基准金全部历史早盘价和晚盘价。所有数据下载后以CSV格式保存至data/目录，便于后续处理模块直接读取。</w:t>
      </w:r>
    </w:p>
    <w:p>
      <w:pPr>
        <w:spacing w:after="0" w:before="0" w:line="400" w:lineRule="exact"/>
        <w:ind w:firstLine="480"/>
        <w:jc w:val="both"/>
      </w:pPr>
      <w:r>
        <w:rPr>
          <w:rFonts w:ascii="宋体" w:cs="宋体" w:eastAsia="宋体" w:hAnsi="宋体"/>
          <w:b w:val="false"/>
          <w:bCs w:val="false"/>
          <w:i w:val="false"/>
          <w:iCs w:val="false"/>
          <w:sz w:val="24"/>
          <w:szCs w:val="24"/>
        </w:rPr>
        <w:t xml:space="preserve">数据处理模块（data_process.py）按照图5所示的流程对原始数据进行预处理。原始数据首先经过缺失值检测，采用前向填充（ffill）策略补全因节假日或停牌导致的空值；随后进行滚动窗口计算，分别计算5日和20日移动均线（rolling().mean()）和20日收盘价标准差（rolling().std()）作为技术特征；标签构建步骤将次日收益率低于-1.5%标记为风险事件；最后对7个特征列应用MinMaxScaler进行归一化，并将拟合好的标准化器以joblib格式保存。</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260985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9850" cy="377190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图5  数据处理流程图</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在联合数据处理方面，股票数据和黄金数据以交易日期为键进行内连接合并（pd.merge(how="inner")），保留两个市场均有记录的交易日，最终联合数据集的特征维度扩展为14维。联合模型的输入形状因此变为（30, 14），网络结构与单一市场模型相同，仅输入层维度有所差异。</w:t>
      </w:r>
    </w:p>
    <w:p>
      <w:pPr>
        <w:spacing w:after="100" w:before="200" w:line="480" w:lineRule="auto"/>
        <w:ind w:left="0" w:firstLine="0"/>
        <w:jc w:val="left"/>
      </w:pPr>
      <w:r>
        <w:rPr>
          <w:rFonts w:ascii="黑体" w:cs="黑体" w:eastAsia="黑体" w:hAnsi="黑体"/>
          <w:b/>
          <w:bCs/>
          <w:sz w:val="28"/>
          <w:szCs w:val="28"/>
        </w:rPr>
        <w:t xml:space="preserve">5.2  模型训练与评估模块</w:t>
      </w:r>
    </w:p>
    <w:p>
      <w:pPr>
        <w:spacing w:after="0" w:before="0" w:line="400" w:lineRule="exact"/>
        <w:ind w:firstLine="480"/>
        <w:jc w:val="both"/>
      </w:pPr>
      <w:r>
        <w:rPr>
          <w:rFonts w:ascii="宋体" w:cs="宋体" w:eastAsia="宋体" w:hAnsi="宋体"/>
          <w:b w:val="false"/>
          <w:bCs w:val="false"/>
          <w:i w:val="false"/>
          <w:iCs w:val="false"/>
          <w:sz w:val="24"/>
          <w:szCs w:val="24"/>
        </w:rPr>
        <w:t xml:space="preserve">模型训练模块（train.py）的执行流程如下：首先读取处理后的CSV文件，按步长为1的滑动窗口切片生成（30, 7）形状的样本，每个样本对应的标签为窗口末日之后第一个交易日的风险状态；随后调用create_stock_model()构建网络，以Adam优化器（初始学习率0.001）和二元交叉熵损失函数编译；设置EarlyStopping与ModelCheckpoint两个回调后，携带类别权重矩阵启动训练（最大100轮）；训练完成后自动加载最优检查点，在测试集上输出准确率、精确率、召回率、F1分数和混淆矩阵。核心训练代码如下所示：</w:t>
      </w:r>
    </w:p>
    <w:p>
      <w:pPr>
        <w:spacing w:line="400" w:lineRule="exact"/>
      </w:pPr>
      <w:r>
        <w:rPr>
          <w:rFonts w:ascii="宋体" w:cs="宋体" w:eastAsia="宋体" w:hAnsi="宋体"/>
          <w:sz w:val="24"/>
          <w:szCs w:val="24"/>
        </w:rPr>
        <w:t xml:space="preserve"/>
      </w:r>
    </w:p>
    <w:p>
      <w:pPr>
        <w:spacing w:line="280" w:lineRule="exact"/>
        <w:ind w:left="480"/>
      </w:pPr>
      <w:r>
        <w:rPr>
          <w:rFonts w:ascii="Courier New" w:cs="Courier New" w:eastAsia="Courier New" w:hAnsi="Courier New"/>
          <w:sz w:val="18"/>
          <w:szCs w:val="18"/>
        </w:rPr>
        <w:t xml:space="preserve"># 计算类别权重</w:t>
      </w:r>
    </w:p>
    <w:p>
      <w:pPr>
        <w:spacing w:line="280" w:lineRule="exact"/>
        <w:ind w:left="480"/>
      </w:pPr>
      <w:r>
        <w:rPr>
          <w:rFonts w:ascii="Courier New" w:cs="Courier New" w:eastAsia="Courier New" w:hAnsi="Courier New"/>
          <w:sz w:val="18"/>
          <w:szCs w:val="18"/>
        </w:rPr>
        <w:t xml:space="preserve">class_weights = {0: 1,</w:t>
      </w:r>
    </w:p>
    <w:p>
      <w:pPr>
        <w:spacing w:line="280" w:lineRule="exact"/>
        <w:ind w:left="480"/>
      </w:pPr>
      <w:r>
        <w:rPr>
          <w:rFonts w:ascii="Courier New" w:cs="Courier New" w:eastAsia="Courier New" w:hAnsi="Courier New"/>
          <w:sz w:val="18"/>
          <w:szCs w:val="18"/>
        </w:rPr>
        <w:t xml:space="preserve">                 1: len(y_train)/sum(y_train)}  # 约4.5</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设置训练回调</w:t>
      </w:r>
    </w:p>
    <w:p>
      <w:pPr>
        <w:spacing w:line="280" w:lineRule="exact"/>
        <w:ind w:left="480"/>
      </w:pPr>
      <w:r>
        <w:rPr>
          <w:rFonts w:ascii="Courier New" w:cs="Courier New" w:eastAsia="Courier New" w:hAnsi="Courier New"/>
          <w:sz w:val="18"/>
          <w:szCs w:val="18"/>
        </w:rPr>
        <w:t xml:space="preserve">early_stopping = EarlyStopping(</w:t>
      </w:r>
    </w:p>
    <w:p>
      <w:pPr>
        <w:spacing w:line="280" w:lineRule="exact"/>
        <w:ind w:left="480"/>
      </w:pPr>
      <w:r>
        <w:rPr>
          <w:rFonts w:ascii="Courier New" w:cs="Courier New" w:eastAsia="Courier New" w:hAnsi="Courier New"/>
          <w:sz w:val="18"/>
          <w:szCs w:val="18"/>
        </w:rPr>
        <w:t xml:space="preserve">    monitor="val_loss", patience=10,</w:t>
      </w:r>
    </w:p>
    <w:p>
      <w:pPr>
        <w:spacing w:line="280" w:lineRule="exact"/>
        <w:ind w:left="480"/>
      </w:pPr>
      <w:r>
        <w:rPr>
          <w:rFonts w:ascii="Courier New" w:cs="Courier New" w:eastAsia="Courier New" w:hAnsi="Courier New"/>
          <w:sz w:val="18"/>
          <w:szCs w:val="18"/>
        </w:rPr>
        <w:t xml:space="preserve">    restore_best_weights=True)</w:t>
      </w:r>
    </w:p>
    <w:p>
      <w:pPr>
        <w:spacing w:line="280" w:lineRule="exact"/>
        <w:ind w:left="480"/>
      </w:pPr>
      <w:r>
        <w:rPr>
          <w:rFonts w:ascii="Courier New" w:cs="Courier New" w:eastAsia="Courier New" w:hAnsi="Courier New"/>
          <w:sz w:val="18"/>
          <w:szCs w:val="18"/>
        </w:rPr>
        <w:t xml:space="preserve">checkpoint = ModelCheckpoint(</w:t>
      </w:r>
    </w:p>
    <w:p>
      <w:pPr>
        <w:spacing w:line="280" w:lineRule="exact"/>
        <w:ind w:left="480"/>
      </w:pPr>
      <w:r>
        <w:rPr>
          <w:rFonts w:ascii="Courier New" w:cs="Courier New" w:eastAsia="Courier New" w:hAnsi="Courier New"/>
          <w:sz w:val="18"/>
          <w:szCs w:val="18"/>
        </w:rPr>
        <w:t xml:space="preserve">    "models/best_stock_model.h5",</w:t>
      </w:r>
    </w:p>
    <w:p>
      <w:pPr>
        <w:spacing w:line="280" w:lineRule="exact"/>
        <w:ind w:left="480"/>
      </w:pPr>
      <w:r>
        <w:rPr>
          <w:rFonts w:ascii="Courier New" w:cs="Courier New" w:eastAsia="Courier New" w:hAnsi="Courier New"/>
          <w:sz w:val="18"/>
          <w:szCs w:val="18"/>
        </w:rPr>
        <w:t xml:space="preserve">    monitor="val_accuracy", save_best_only=True)</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启动训练</w:t>
      </w:r>
    </w:p>
    <w:p>
      <w:pPr>
        <w:spacing w:line="280" w:lineRule="exact"/>
        <w:ind w:left="480"/>
      </w:pPr>
      <w:r>
        <w:rPr>
          <w:rFonts w:ascii="Courier New" w:cs="Courier New" w:eastAsia="Courier New" w:hAnsi="Courier New"/>
          <w:sz w:val="18"/>
          <w:szCs w:val="18"/>
        </w:rPr>
        <w:t xml:space="preserve">history = model.fit(</w:t>
      </w:r>
    </w:p>
    <w:p>
      <w:pPr>
        <w:spacing w:line="280" w:lineRule="exact"/>
        <w:ind w:left="480"/>
      </w:pPr>
      <w:r>
        <w:rPr>
          <w:rFonts w:ascii="Courier New" w:cs="Courier New" w:eastAsia="Courier New" w:hAnsi="Courier New"/>
          <w:sz w:val="18"/>
          <w:szCs w:val="18"/>
        </w:rPr>
        <w:t xml:space="preserve">    X_train, y_train,</w:t>
      </w:r>
    </w:p>
    <w:p>
      <w:pPr>
        <w:spacing w:line="280" w:lineRule="exact"/>
        <w:ind w:left="480"/>
      </w:pPr>
      <w:r>
        <w:rPr>
          <w:rFonts w:ascii="Courier New" w:cs="Courier New" w:eastAsia="Courier New" w:hAnsi="Courier New"/>
          <w:sz w:val="18"/>
          <w:szCs w:val="18"/>
        </w:rPr>
        <w:t xml:space="preserve">    epochs=100, batch_size=32,</w:t>
      </w:r>
    </w:p>
    <w:p>
      <w:pPr>
        <w:spacing w:line="280" w:lineRule="exact"/>
        <w:ind w:left="480"/>
      </w:pPr>
      <w:r>
        <w:rPr>
          <w:rFonts w:ascii="Courier New" w:cs="Courier New" w:eastAsia="Courier New" w:hAnsi="Courier New"/>
          <w:sz w:val="18"/>
          <w:szCs w:val="18"/>
        </w:rPr>
        <w:t xml:space="preserve">    validation_split=0.1,</w:t>
      </w:r>
    </w:p>
    <w:p>
      <w:pPr>
        <w:spacing w:line="280" w:lineRule="exact"/>
        <w:ind w:left="480"/>
      </w:pPr>
      <w:r>
        <w:rPr>
          <w:rFonts w:ascii="Courier New" w:cs="Courier New" w:eastAsia="Courier New" w:hAnsi="Courier New"/>
          <w:sz w:val="18"/>
          <w:szCs w:val="18"/>
        </w:rPr>
        <w:t xml:space="preserve">    class_weight=class_weights,</w:t>
      </w:r>
    </w:p>
    <w:p>
      <w:pPr>
        <w:spacing w:line="280" w:lineRule="exact"/>
        <w:ind w:left="480"/>
      </w:pPr>
      <w:r>
        <w:rPr>
          <w:rFonts w:ascii="Courier New" w:cs="Courier New" w:eastAsia="Courier New" w:hAnsi="Courier New"/>
          <w:sz w:val="18"/>
          <w:szCs w:val="18"/>
        </w:rPr>
        <w:t xml:space="preserve">    callbacks=[early_stopping, checkpoint])</w:t>
      </w:r>
    </w:p>
    <w:p>
      <w:pPr>
        <w:spacing w:line="400" w:lineRule="exact"/>
      </w:pPr>
      <w:r>
        <w:rPr>
          <w:rFonts w:ascii="宋体" w:cs="宋体" w:eastAsia="宋体" w:hAnsi="宋体"/>
          <w:sz w:val="24"/>
          <w:szCs w:val="24"/>
        </w:rPr>
        <w:t xml:space="preserve"/>
      </w:r>
    </w:p>
    <w:p>
      <w:pPr>
        <w:spacing w:after="100" w:before="200" w:line="480" w:lineRule="auto"/>
        <w:ind w:left="0" w:firstLine="0"/>
        <w:jc w:val="left"/>
      </w:pPr>
      <w:r>
        <w:rPr>
          <w:rFonts w:ascii="黑体" w:cs="黑体" w:eastAsia="黑体" w:hAnsi="黑体"/>
          <w:b/>
          <w:bCs/>
          <w:sz w:val="28"/>
          <w:szCs w:val="28"/>
        </w:rPr>
        <w:t xml:space="preserve">5.3  预测推理模块</w:t>
      </w:r>
    </w:p>
    <w:p>
      <w:pPr>
        <w:spacing w:after="0" w:before="0" w:line="400" w:lineRule="exact"/>
        <w:ind w:firstLine="480"/>
        <w:jc w:val="both"/>
      </w:pPr>
      <w:r>
        <w:rPr>
          <w:rFonts w:ascii="宋体" w:cs="宋体" w:eastAsia="宋体" w:hAnsi="宋体"/>
          <w:b w:val="false"/>
          <w:bCs w:val="false"/>
          <w:i w:val="false"/>
          <w:iCs w:val="false"/>
          <w:sz w:val="24"/>
          <w:szCs w:val="24"/>
        </w:rPr>
        <w:t xml:space="preserve">预测推理模块（predict.py）是系统对外提供服务的核心接口。其完整推理流程如下：首先通过akshare下载目标标的最近90个交易日的行情数据（保证在去除缺失值后有足够的30日窗口）；随后计算与训练阶段完全一致的MA5、MA20和波动率三项技术指标，去除因滚动窗口产生的早期缺失值；然后加载训练阶段保存的MinMaxScaler，对最后30天的7维特征矩阵进行标准化变换；将标准化后的矩阵reshape为（1, 30, 7）的模型输入格式，送入已加载的.h5模型完成前向推理，得到风险概率；最后根据最新一日的指标状态生成文字化的风险原因分析。</w:t>
      </w:r>
    </w:p>
    <w:p>
      <w:pPr>
        <w:spacing w:after="0" w:before="0" w:line="400" w:lineRule="exact"/>
        <w:ind w:firstLine="480"/>
        <w:jc w:val="both"/>
      </w:pPr>
      <w:r>
        <w:rPr>
          <w:rFonts w:ascii="宋体" w:cs="宋体" w:eastAsia="宋体" w:hAnsi="宋体"/>
          <w:b w:val="false"/>
          <w:bCs w:val="false"/>
          <w:i w:val="false"/>
          <w:iCs w:val="false"/>
          <w:sz w:val="24"/>
          <w:szCs w:val="24"/>
        </w:rPr>
        <w:t xml:space="preserve">在风险原因分析方面，模块采用规则化的文字生成逻辑：当收盘价低于MA5且MA5低于MA20时，标注"均线系统向下排列，趋势偏弱，存在进一步下跌动能"；当20日波动率超过历史均值的1.5倍时，标注"市场波动率异常升高，通常预示恐慌情绪蔓延或重大事件冲击，风险显著上升"；当5日收益率低于-3%时，标注"近期价格快速下跌，跌势具有延续性，关注是否出现支撑信号"。不同触发条件的原因描述可以叠加组合，为用户提供多维度的风险佐证。</w:t>
      </w:r>
    </w:p>
    <w:p>
      <w:pPr>
        <w:spacing w:after="100" w:before="200" w:line="480" w:lineRule="auto"/>
        <w:ind w:left="0" w:firstLine="0"/>
        <w:jc w:val="left"/>
      </w:pPr>
      <w:r>
        <w:rPr>
          <w:rFonts w:ascii="黑体" w:cs="黑体" w:eastAsia="黑体" w:hAnsi="黑体"/>
          <w:b/>
          <w:bCs/>
          <w:sz w:val="28"/>
          <w:szCs w:val="28"/>
        </w:rPr>
        <w:t xml:space="preserve">5.4  可视化交互界面</w:t>
      </w:r>
    </w:p>
    <w:p>
      <w:pPr>
        <w:spacing w:after="0" w:before="0" w:line="400" w:lineRule="exact"/>
        <w:ind w:firstLine="480"/>
        <w:jc w:val="both"/>
      </w:pPr>
      <w:r>
        <w:rPr>
          <w:rFonts w:ascii="宋体" w:cs="宋体" w:eastAsia="宋体" w:hAnsi="宋体"/>
          <w:b w:val="false"/>
          <w:bCs w:val="false"/>
          <w:i w:val="false"/>
          <w:iCs w:val="false"/>
          <w:sz w:val="24"/>
          <w:szCs w:val="24"/>
        </w:rPr>
        <w:t xml:space="preserve">交互界面（app.py）基于Streamlit框架开发，整体布局分为侧边栏控制区和主内容展示区两部分。侧边栏提供市场标的选择（下拉菜单，包含沪深300/上证指数/深证成指/创业板指/黄金五个选项）和操作按钮（"加载模型"和"开始预测"）；主内容区分上下两个面板，上方展示预测结论（大字体风险概率指标卡、高/低风险彩色提示框及文字原因说明），下方展示最近60日的价格走势Plotly交互图表（支持悬停查看具体数值和缩放操作），叠加显示MA5和MA20均线。</w:t>
      </w:r>
    </w:p>
    <w:p>
      <w:pPr>
        <w:spacing w:after="0" w:before="0" w:line="400" w:lineRule="exact"/>
        <w:ind w:firstLine="480"/>
        <w:jc w:val="both"/>
      </w:pPr>
      <w:r>
        <w:rPr>
          <w:rFonts w:ascii="宋体" w:cs="宋体" w:eastAsia="宋体" w:hAnsi="宋体"/>
          <w:b w:val="false"/>
          <w:bCs w:val="false"/>
          <w:i w:val="false"/>
          <w:iCs w:val="false"/>
          <w:sz w:val="24"/>
          <w:szCs w:val="24"/>
        </w:rPr>
        <w:t xml:space="preserve">在用户交互流程上，点击"加载模型"后系统自动从models/目录加载对应标的的.h5模型文件和标准化器，成功后提示"模型加载完成"；点击"开始预测"后触发完整的数据下载→处理→推理→展示流程，整个过程约3~5秒完成，全程附有进度提示，用户无需任何等待焦虑。</w:t>
      </w:r>
    </w:p>
    <w:p>
      <w:r>
        <w:br w:type="page"/>
      </w:r>
    </w:p>
    <w:p>
      <w:pPr>
        <w:spacing w:after="120" w:before="240" w:line="600" w:lineRule="auto"/>
        <w:ind w:left="0" w:firstLine="0"/>
        <w:jc w:val="left"/>
      </w:pPr>
      <w:r>
        <w:rPr>
          <w:rFonts w:ascii="黑体" w:cs="黑体" w:eastAsia="黑体" w:hAnsi="黑体"/>
          <w:b/>
          <w:bCs/>
          <w:sz w:val="30"/>
          <w:szCs w:val="30"/>
        </w:rPr>
        <w:t xml:space="preserve">6  实验与结果分析</w:t>
      </w:r>
    </w:p>
    <w:p>
      <w:pPr>
        <w:spacing w:after="100" w:before="200" w:line="480" w:lineRule="auto"/>
        <w:ind w:left="0" w:firstLine="0"/>
        <w:jc w:val="left"/>
      </w:pPr>
      <w:r>
        <w:rPr>
          <w:rFonts w:ascii="黑体" w:cs="黑体" w:eastAsia="黑体" w:hAnsi="黑体"/>
          <w:b/>
          <w:bCs/>
          <w:sz w:val="28"/>
          <w:szCs w:val="28"/>
        </w:rPr>
        <w:t xml:space="preserve">6.1  实验设置</w:t>
      </w:r>
    </w:p>
    <w:p>
      <w:pPr>
        <w:spacing w:after="0" w:before="0" w:line="400" w:lineRule="exact"/>
        <w:ind w:firstLine="480"/>
        <w:jc w:val="both"/>
      </w:pPr>
      <w:r>
        <w:rPr>
          <w:rFonts w:ascii="宋体" w:cs="宋体" w:eastAsia="宋体" w:hAnsi="宋体"/>
          <w:b w:val="false"/>
          <w:bCs w:val="false"/>
          <w:i w:val="false"/>
          <w:iCs w:val="false"/>
          <w:sz w:val="24"/>
          <w:szCs w:val="24"/>
        </w:rPr>
        <w:t xml:space="preserve">所有实验以沪深300指数（symbol="sh000300"）2005年1月至2024年12月的日行情数据作为研究对象，共约4900个有效交易日样本（去除均线计算所需的前20个预热期后）。按时间顺序，前80%（约3520条）作为训练集，后20%（约980条）作为测试集，训练集中进一步取后10%（约352条）作为验证集，用于早停判断与检查点保存。数据集中正常样本约占82%（约3995条），风险样本约占18%（约905条），类别比约为4.4:1。</w:t>
      </w:r>
    </w:p>
    <w:p>
      <w:pPr>
        <w:spacing w:after="0" w:before="0" w:line="400" w:lineRule="exact"/>
        <w:ind w:firstLine="480"/>
        <w:jc w:val="both"/>
      </w:pPr>
      <w:r>
        <w:rPr>
          <w:rFonts w:ascii="宋体" w:cs="宋体" w:eastAsia="宋体" w:hAnsi="宋体"/>
          <w:b w:val="false"/>
          <w:bCs w:val="false"/>
          <w:i w:val="false"/>
          <w:iCs w:val="false"/>
          <w:sz w:val="24"/>
          <w:szCs w:val="24"/>
        </w:rPr>
        <w:t xml:space="preserve">所有对比模型统一采用相同的超参数配置：Adam优化器（初始学习率0.001，β1=0.9，β2=0.999）、批次大小32、最大训练轮次100、验证集比例10%、早停patience=10、Dropout率0.5。评估指标体系包含四项：整体准确率（Accuracy）、精确率（Precision）、召回率（Recall）和F1分数（F1-Score）。其中召回率（风险识别率）是最核心的业务指标，其定义为：在所有真实风险事件中，被模型成功预警的比例。在实际应用场景中，漏报（假阴性）的危害远大于误报（假阳性），因此召回率的优化优先级高于精确率。</w:t>
      </w:r>
    </w:p>
    <w:p>
      <w:pPr>
        <w:spacing w:after="100" w:before="200" w:line="480" w:lineRule="auto"/>
        <w:ind w:left="0" w:firstLine="0"/>
        <w:jc w:val="left"/>
      </w:pPr>
      <w:r>
        <w:rPr>
          <w:rFonts w:ascii="黑体" w:cs="黑体" w:eastAsia="黑体" w:hAnsi="黑体"/>
          <w:b/>
          <w:bCs/>
          <w:sz w:val="28"/>
          <w:szCs w:val="28"/>
        </w:rPr>
        <w:t xml:space="preserve">6.2  训练过程分析</w:t>
      </w:r>
    </w:p>
    <w:p>
      <w:pPr>
        <w:spacing w:after="0" w:before="0" w:line="400" w:lineRule="exact"/>
        <w:ind w:firstLine="480"/>
        <w:jc w:val="both"/>
      </w:pPr>
      <w:r>
        <w:rPr>
          <w:rFonts w:ascii="宋体" w:cs="宋体" w:eastAsia="宋体" w:hAnsi="宋体"/>
          <w:b w:val="false"/>
          <w:bCs w:val="false"/>
          <w:i w:val="false"/>
          <w:iCs w:val="false"/>
          <w:sz w:val="24"/>
          <w:szCs w:val="24"/>
        </w:rPr>
        <w:t xml:space="preserve">图6展示了CNN-LSTM-Attention模型在训练过程中的损失函数与准确率变化曲线。从损失曲线来看，训练集Loss和验证集Loss均在前20个epoch内快速且同步地下降，说明模型初期有效地从数据中学习了风险特征；在第20~35轮之间，两条损失曲线趋于平稳收敛，验证集Loss保持在训练集Loss附近，未出现明显发散，证明Dropout正则化和类别权重策略共同维护了训练的稳定性，有效抑制了过拟合倾向。准确率曲线显示，验证集准确率在第35轮附近稳定超过了90%的水平，早停机制随后在第43轮触发（验证集Loss连续10轮未见改善），模型权重自动恢复至第33轮（该轮验证集准确率最优）。</w:t>
      </w:r>
    </w:p>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7719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40030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图6  模型训练过程曲线（损失函数与准确率变化）</w:t>
      </w:r>
    </w:p>
    <w:p>
      <w:pPr>
        <w:spacing w:line="400" w:lineRule="exact"/>
      </w:pPr>
      <w:r>
        <w:rPr>
          <w:rFonts w:ascii="宋体" w:cs="宋体" w:eastAsia="宋体" w:hAnsi="宋体"/>
          <w:sz w:val="24"/>
          <w:szCs w:val="24"/>
        </w:rPr>
        <w:t xml:space="preserve"/>
      </w:r>
    </w:p>
    <w:p>
      <w:pPr>
        <w:spacing w:after="100" w:before="200" w:line="480" w:lineRule="auto"/>
        <w:ind w:left="0" w:firstLine="0"/>
        <w:jc w:val="left"/>
      </w:pPr>
      <w:r>
        <w:rPr>
          <w:rFonts w:ascii="黑体" w:cs="黑体" w:eastAsia="黑体" w:hAnsi="黑体"/>
          <w:b/>
          <w:bCs/>
          <w:sz w:val="28"/>
          <w:szCs w:val="28"/>
        </w:rPr>
        <w:t xml:space="preserve">6.3  测试结果分析</w:t>
      </w:r>
    </w:p>
    <w:p>
      <w:pPr>
        <w:spacing w:after="0" w:before="0" w:line="400" w:lineRule="exact"/>
        <w:ind w:firstLine="480"/>
        <w:jc w:val="both"/>
      </w:pPr>
      <w:r>
        <w:rPr>
          <w:rFonts w:ascii="宋体" w:cs="宋体" w:eastAsia="宋体" w:hAnsi="宋体"/>
          <w:b w:val="false"/>
          <w:bCs w:val="false"/>
          <w:i w:val="false"/>
          <w:iCs w:val="false"/>
          <w:sz w:val="24"/>
          <w:szCs w:val="24"/>
        </w:rPr>
        <w:t xml:space="preserve">表4展示了本文CNN-LSTM-Attention模型在测试集上的详细评估结果，图7为对应的混淆矩阵。测试集共包含正常样本约800条，风险样本约180条。</w:t>
      </w:r>
    </w:p>
    <w:p>
      <w:pPr>
        <w:spacing w:line="400" w:lineRule="exact"/>
      </w:pPr>
      <w:r>
        <w:rPr>
          <w:rFonts w:ascii="宋体" w:cs="宋体" w:eastAsia="宋体" w:hAnsi="宋体"/>
          <w:sz w:val="24"/>
          <w:szCs w:val="24"/>
        </w:rPr>
        <w:t xml:space="preserve"/>
      </w:r>
    </w:p>
    <w:p>
      <w:pPr>
        <w:spacing w:after="40" w:before="120" w:line="400" w:lineRule="exact"/>
        <w:jc w:val="center"/>
      </w:pPr>
      <w:r>
        <w:rPr>
          <w:rFonts w:ascii="黑体" w:cs="黑体" w:eastAsia="黑体" w:hAnsi="黑体"/>
          <w:b w:val="false"/>
          <w:bCs w:val="false"/>
          <w:sz w:val="20"/>
          <w:szCs w:val="20"/>
        </w:rPr>
        <w:t xml:space="preserve">表4  测试集评估指标（沪深300，2020-2024年）</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2600"/>
        <w:gridCol w:w="1600"/>
        <w:gridCol w:w="1500"/>
        <w:gridCol w:w="1400"/>
      </w:tblGrid>
      <w:tr>
        <w:tc>
          <w:tcPr>
            <w:tcW w:type="dxa" w:w="22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评估指标</w:t>
            </w:r>
          </w:p>
        </w:tc>
        <w:tc>
          <w:tcPr>
            <w:tcW w:type="dxa" w:w="26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计算公式</w:t>
            </w:r>
          </w:p>
        </w:tc>
        <w:tc>
          <w:tcPr>
            <w:tcW w:type="dxa" w:w="16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模型结果</w:t>
            </w:r>
          </w:p>
        </w:tc>
        <w:tc>
          <w:tcPr>
            <w:tcW w:type="dxa" w:w="15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预设目标</w:t>
            </w:r>
          </w:p>
        </w:tc>
        <w:tc>
          <w:tcPr>
            <w:tcW w:type="dxa" w:w="14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是否达标</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准确率（Accuracy）</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(TP+TN)/(TP+TN+FP+FN)</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92.00%</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&gt; 85%</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达标</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精确率（Precision）</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TP/(TP+FP)</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76.32%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召回率（Recall）</w:t>
            </w:r>
          </w:p>
        </w:tc>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TP/(TP+FN)</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80.56%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&gt; 80%</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 达标</w:t>
            </w:r>
          </w:p>
        </w:tc>
      </w:tr>
      <w:tr>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F1分数（F1-Score）</w:t>
            </w:r>
          </w:p>
        </w:tc>
        <w:tc>
          <w:tcPr>
            <w:tcW w:type="dxa" w:w="26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2×P×R/(P+R)</w:t>
            </w:r>
          </w:p>
        </w:tc>
        <w:tc>
          <w:tcPr>
            <w:tcW w:type="dxa" w:w="16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78.38%</w:t>
            </w:r>
          </w:p>
        </w:tc>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w:t>
            </w:r>
          </w:p>
        </w:tc>
        <w:tc>
          <w:tcPr>
            <w:tcW w:type="dxa" w:w="14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w:t>
            </w:r>
          </w:p>
        </w:tc>
      </w:tr>
    </w:tbl>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2956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466975"/>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图7  测试集混淆矩阵</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从混淆矩阵的详细数字分析来看，模型共有90条正常样本被误判为风险（假阳性，FP），70条风险样本被漏报（假阴性，FN）。FN数量（70）明显少于FP数量（90），说明动态类别权重策略成功地将模型的决策边界向"宁可误报，不能漏报"方向移动，符合风险预警系统的业务逻辑。从精确率（76.32%）和召回率（80.56%）的对比来看，存在一定程度的精确率-召回率权衡，这在不平衡分类问题中是正常现象，后续可通过调整决策阈值进行优化。</w:t>
      </w:r>
    </w:p>
    <w:p>
      <w:pPr>
        <w:spacing w:after="100" w:before="200" w:line="480" w:lineRule="auto"/>
        <w:ind w:left="0" w:firstLine="0"/>
        <w:jc w:val="left"/>
      </w:pPr>
      <w:r>
        <w:rPr>
          <w:rFonts w:ascii="黑体" w:cs="黑体" w:eastAsia="黑体" w:hAnsi="黑体"/>
          <w:b/>
          <w:bCs/>
          <w:sz w:val="28"/>
          <w:szCs w:val="28"/>
        </w:rPr>
        <w:t xml:space="preserve">6.4  消融实验</w:t>
      </w:r>
    </w:p>
    <w:p>
      <w:pPr>
        <w:spacing w:after="0" w:before="0" w:line="400" w:lineRule="exact"/>
        <w:ind w:firstLine="480"/>
        <w:jc w:val="both"/>
      </w:pPr>
      <w:r>
        <w:rPr>
          <w:rFonts w:ascii="宋体" w:cs="宋体" w:eastAsia="宋体" w:hAnsi="宋体"/>
          <w:b w:val="false"/>
          <w:bCs w:val="false"/>
          <w:i w:val="false"/>
          <w:iCs w:val="false"/>
          <w:sz w:val="24"/>
          <w:szCs w:val="24"/>
        </w:rPr>
        <w:t xml:space="preserve">为定量验证模型各组件的独立贡献，本文设计了系统性的消融实验，在完全相同的数据集划分、超参数和训练策略下，对四种网络架构进行对比，实验结果如表5和图8所示。</w:t>
      </w:r>
    </w:p>
    <w:p>
      <w:pPr>
        <w:spacing w:line="400" w:lineRule="exact"/>
      </w:pPr>
      <w:r>
        <w:rPr>
          <w:rFonts w:ascii="宋体" w:cs="宋体" w:eastAsia="宋体" w:hAnsi="宋体"/>
          <w:sz w:val="24"/>
          <w:szCs w:val="24"/>
        </w:rPr>
        <w:t xml:space="preserve"/>
      </w:r>
    </w:p>
    <w:p>
      <w:pPr>
        <w:spacing w:after="40" w:before="120" w:line="400" w:lineRule="exact"/>
        <w:jc w:val="center"/>
      </w:pPr>
      <w:r>
        <w:rPr>
          <w:rFonts w:ascii="黑体" w:cs="黑体" w:eastAsia="黑体" w:hAnsi="黑体"/>
          <w:b w:val="false"/>
          <w:bCs w:val="false"/>
          <w:sz w:val="20"/>
          <w:szCs w:val="20"/>
        </w:rPr>
        <w:t xml:space="preserve">表5  消融实验各模型性能对比</w:t>
      </w:r>
    </w:p>
    <w:tbl>
      <w:tblPr>
        <w:tblW w:type="dxa" w:w="93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600"/>
        <w:gridCol w:w="1300"/>
        <w:gridCol w:w="1300"/>
        <w:gridCol w:w="1300"/>
        <w:gridCol w:w="1300"/>
        <w:gridCol w:w="1500"/>
      </w:tblGrid>
      <w:tr>
        <w:tc>
          <w:tcPr>
            <w:tcW w:type="dxa" w:w="26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模型架构</w:t>
            </w:r>
          </w:p>
        </w:tc>
        <w:tc>
          <w:tcPr>
            <w:tcW w:type="dxa" w:w="13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准确率</w:t>
            </w:r>
          </w:p>
        </w:tc>
        <w:tc>
          <w:tcPr>
            <w:tcW w:type="dxa" w:w="13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精确率</w:t>
            </w:r>
          </w:p>
        </w:tc>
        <w:tc>
          <w:tcPr>
            <w:tcW w:type="dxa" w:w="13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召回率</w:t>
            </w:r>
          </w:p>
        </w:tc>
        <w:tc>
          <w:tcPr>
            <w:tcW w:type="dxa" w:w="13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F1分数</w:t>
            </w:r>
          </w:p>
        </w:tc>
        <w:tc>
          <w:tcPr>
            <w:tcW w:type="dxa" w:w="1500"/>
            <w:tcBorders>
              <w:top w:val="single" w:color="000000" w:sz="12"/>
              <w:left w:val="none" w:color="FFFFFF" w:sz="0"/>
              <w:bottom w:val="single" w:color="000000" w:sz="2"/>
              <w:right w:val="none" w:color="FFFFFF" w:sz="0"/>
            </w:tcBorders>
            <w:tcMar>
              <w:top w:type="dxa" w:w="60"/>
              <w:left w:type="dxa" w:w="80"/>
              <w:bottom w:type="dxa" w:w="60"/>
              <w:right w:type="dxa" w:w="80"/>
            </w:tcMar>
          </w:tcPr>
          <w:p>
            <w:pPr>
              <w:spacing w:line="340" w:lineRule="exact"/>
              <w:jc w:val="center"/>
            </w:pPr>
            <w:r>
              <w:rPr>
                <w:rFonts w:ascii="宋体" w:cs="宋体" w:eastAsia="宋体" w:hAnsi="宋体"/>
                <w:b/>
                <w:bCs/>
                <w:sz w:val="20"/>
                <w:szCs w:val="20"/>
              </w:rPr>
              <w:t xml:space="preserve">参数量</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LSTM（基线）</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78.00%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61.20%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68.10%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64.46%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~85万</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GRU（基线）</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80.00%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64.30%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71.20%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67.58%</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~64万</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CNN-LSTM</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83.00%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70.10%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76.40%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73.12%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~196万</w:t>
            </w:r>
          </w:p>
        </w:tc>
      </w:tr>
      <w:tr>
        <w:tc>
          <w:tcPr>
            <w:tcW w:type="dxa" w:w="26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CNN-LSTM-Attention（本文）</w:t>
            </w:r>
          </w:p>
        </w:tc>
        <w:tc>
          <w:tcPr>
            <w:tcW w:type="dxa" w:w="13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92.00%</w:t>
            </w:r>
          </w:p>
        </w:tc>
        <w:tc>
          <w:tcPr>
            <w:tcW w:type="dxa" w:w="13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76.32%</w:t>
            </w:r>
          </w:p>
        </w:tc>
        <w:tc>
          <w:tcPr>
            <w:tcW w:type="dxa" w:w="13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80.56%</w:t>
            </w:r>
          </w:p>
        </w:tc>
        <w:tc>
          <w:tcPr>
            <w:tcW w:type="dxa" w:w="13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78.38%</w:t>
            </w:r>
          </w:p>
        </w:tc>
        <w:tc>
          <w:tcPr>
            <w:tcW w:type="dxa" w:w="1500"/>
            <w:tcBorders>
              <w:top w:val="none" w:color="FFFFFF" w:sz="0"/>
              <w:left w:val="none" w:color="FFFFFF" w:sz="0"/>
              <w:bottom w:val="single" w:color="000000" w:sz="12"/>
              <w:right w:val="none" w:color="FFFFFF" w:sz="0"/>
            </w:tcBorders>
            <w:tcMar>
              <w:top w:type="dxa" w:w="60"/>
              <w:left w:type="dxa" w:w="80"/>
              <w:bottom w:type="dxa" w:w="60"/>
              <w:right w:type="dxa" w:w="80"/>
            </w:tcMar>
          </w:tcPr>
          <w:p>
            <w:pPr>
              <w:spacing w:line="340" w:lineRule="exact"/>
              <w:jc w:val="center"/>
            </w:pPr>
            <w:r>
              <w:rPr>
                <w:rFonts w:ascii="宋体" w:cs="宋体" w:eastAsia="宋体" w:hAnsi="宋体"/>
                <w:sz w:val="20"/>
                <w:szCs w:val="20"/>
              </w:rPr>
              <w:t xml:space="preserve">~280万</w:t>
            </w:r>
          </w:p>
        </w:tc>
      </w:tr>
    </w:tbl>
    <w:p>
      <w:pPr>
        <w:spacing w:line="400" w:lineRule="exact"/>
      </w:pPr>
      <w:r>
        <w:rPr>
          <w:rFonts w:ascii="宋体" w:cs="宋体" w:eastAsia="宋体" w:hAnsi="宋体"/>
          <w:sz w:val="24"/>
          <w:szCs w:val="24"/>
        </w:rPr>
        <w:t xml:space="preserve"/>
      </w:r>
    </w:p>
    <w:p>
      <w:pPr>
        <w:spacing w:after="40" w:before="80" w:line="400" w:lineRule="exact"/>
        <w:jc w:val="center"/>
      </w:pPr>
      <w:r>
        <w:drawing>
          <wp:inline distT="0" distB="0" distL="0" distR="0">
            <wp:extent cx="37719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2190750"/>
                    </a:xfrm>
                    <a:prstGeom prst="rect">
                      <a:avLst/>
                    </a:prstGeom>
                  </pic:spPr>
                </pic:pic>
              </a:graphicData>
            </a:graphic>
          </wp:inline>
        </w:drawing>
      </w:r>
    </w:p>
    <w:p>
      <w:pPr>
        <w:spacing w:after="120" w:before="40" w:line="400" w:lineRule="exact"/>
        <w:jc w:val="center"/>
      </w:pPr>
      <w:r>
        <w:rPr>
          <w:rFonts w:ascii="黑体" w:cs="黑体" w:eastAsia="黑体" w:hAnsi="黑体"/>
          <w:b w:val="false"/>
          <w:bCs w:val="false"/>
          <w:sz w:val="20"/>
          <w:szCs w:val="20"/>
        </w:rPr>
        <w:t xml:space="preserve">图8  不同模型架构性能对比图</w:t>
      </w:r>
    </w:p>
    <w:p>
      <w:pPr>
        <w:spacing w:line="400" w:lineRule="exact"/>
      </w:pPr>
      <w:r>
        <w:rPr>
          <w:rFonts w:ascii="宋体" w:cs="宋体" w:eastAsia="宋体" w:hAnsi="宋体"/>
          <w:sz w:val="24"/>
          <w:szCs w:val="24"/>
        </w:rPr>
        <w:t xml:space="preserve"/>
      </w:r>
    </w:p>
    <w:p>
      <w:pPr>
        <w:spacing w:after="0" w:before="0" w:line="400" w:lineRule="exact"/>
        <w:ind w:firstLine="480"/>
        <w:jc w:val="both"/>
      </w:pPr>
      <w:r>
        <w:rPr>
          <w:rFonts w:ascii="宋体" w:cs="宋体" w:eastAsia="宋体" w:hAnsi="宋体"/>
          <w:b w:val="false"/>
          <w:bCs w:val="false"/>
          <w:i w:val="false"/>
          <w:iCs w:val="false"/>
          <w:sz w:val="24"/>
          <w:szCs w:val="24"/>
        </w:rPr>
        <w:t xml:space="preserve">从表5和图8的结果可以得出以下结论：</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一，单纯LSTM模型（基线）的准确率和召回率最低（78%/68.1%），说明仅依靠时序建模而缺乏局部特征提取时，模型对复杂价格形态的识别能力有限。GRU的表现略优于LSTM（80%/71.2%），这主要得益于GRU更简洁的门控结构（只有重置门和更新门），在相对有限的训练样本下表现出更好的泛化性。</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二，加入CNN特征提取层后（CNN-LSTM），模型准确率从80%跃升至83%，召回率从71.2%提升至76.4%，提升幅度均达3~5个百分点。这证明Conv1D的局部波动模式提取能力有效增强了时序模型的输入特征质量，使LSTM能够在更丰富的特征空间上进行时序建模。</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三，在CNN-LSTM基础上引入Attention机制后，准确率进一步提升至92%，召回率提升至80.56%，相较于CNN-LSTM分别提高了9个百分点和4.16个百分点，是四个阶段中提升幅度最显著的一步。这充分表明，Attention机制动态聚焦历史关键时间步的能力，对于识别稀有风险事件具有尤为重要的作用。</w:t>
      </w:r>
    </w:p>
    <w:p>
      <w:pPr>
        <w:spacing w:after="0" w:before="0" w:line="400" w:lineRule="exact"/>
        <w:ind w:firstLine="480"/>
        <w:jc w:val="both"/>
      </w:pPr>
      <w:r>
        <w:rPr>
          <w:rFonts w:ascii="宋体" w:cs="宋体" w:eastAsia="宋体" w:hAnsi="宋体"/>
          <w:b w:val="false"/>
          <w:bCs w:val="false"/>
          <w:i w:val="false"/>
          <w:iCs w:val="false"/>
          <w:sz w:val="24"/>
          <w:szCs w:val="24"/>
        </w:rPr>
        <w:t xml:space="preserve">综合消融实验结果可知，CNN、LSTM、Attention三个模块均对最终模型性能有显著正向贡献，缺少任何一个组件都会导致明显的性能退化。三者在层次化特征学习框架下的协同作用，是本文方法取得最优性能的关键所在。</w:t>
      </w:r>
    </w:p>
    <w:p>
      <w:r>
        <w:br w:type="page"/>
      </w:r>
    </w:p>
    <w:p>
      <w:pPr>
        <w:spacing w:after="120" w:before="240" w:line="600" w:lineRule="auto"/>
        <w:ind w:left="0" w:firstLine="0"/>
        <w:jc w:val="left"/>
      </w:pPr>
      <w:r>
        <w:rPr>
          <w:rFonts w:ascii="黑体" w:cs="黑体" w:eastAsia="黑体" w:hAnsi="黑体"/>
          <w:b/>
          <w:bCs/>
          <w:sz w:val="30"/>
          <w:szCs w:val="30"/>
        </w:rPr>
        <w:t xml:space="preserve">7  总结与展望</w:t>
      </w:r>
    </w:p>
    <w:p>
      <w:pPr>
        <w:spacing w:after="100" w:before="200" w:line="480" w:lineRule="auto"/>
        <w:ind w:left="0" w:firstLine="0"/>
        <w:jc w:val="left"/>
      </w:pPr>
      <w:r>
        <w:rPr>
          <w:rFonts w:ascii="黑体" w:cs="黑体" w:eastAsia="黑体" w:hAnsi="黑体"/>
          <w:b/>
          <w:bCs/>
          <w:sz w:val="28"/>
          <w:szCs w:val="28"/>
        </w:rPr>
        <w:t xml:space="preserve">7.1  工作总结</w:t>
      </w:r>
    </w:p>
    <w:p>
      <w:pPr>
        <w:spacing w:after="0" w:before="0" w:line="400" w:lineRule="exact"/>
        <w:ind w:firstLine="480"/>
        <w:jc w:val="both"/>
      </w:pPr>
      <w:r>
        <w:rPr>
          <w:rFonts w:ascii="宋体" w:cs="宋体" w:eastAsia="宋体" w:hAnsi="宋体"/>
          <w:b w:val="false"/>
          <w:bCs w:val="false"/>
          <w:i w:val="false"/>
          <w:iCs w:val="false"/>
          <w:sz w:val="24"/>
          <w:szCs w:val="24"/>
        </w:rPr>
        <w:t xml:space="preserve">本文围绕A股市场次日大跌风险预测这一核心任务，提出并完整实现了基于CNN-LSTM-Attention混合神经网络的风险预测系统，主要工作与贡献可概括为以下四个方面：</w:t>
      </w:r>
    </w:p>
    <w:p>
      <w:pPr>
        <w:spacing w:after="0" w:before="0" w:line="400" w:lineRule="exact"/>
        <w:ind w:firstLine="480"/>
        <w:jc w:val="both"/>
      </w:pPr>
      <w:r>
        <w:rPr>
          <w:rFonts w:ascii="宋体" w:cs="宋体" w:eastAsia="宋体" w:hAnsi="宋体"/>
          <w:b w:val="false"/>
          <w:bCs w:val="false"/>
          <w:i w:val="false"/>
          <w:iCs w:val="false"/>
          <w:sz w:val="24"/>
          <w:szCs w:val="24"/>
        </w:rPr>
        <w:t xml:space="preserve">在模型设计方面，提出了CNN-LSTM-Attention三阶段层次化特征学习框架，将卷积网络的局部形态识别能力、LSTM的长程时序依赖建模能力与注意力机制的动态关键时步聚焦能力有机结合，构成了一套完整的端到端特征学习流程。消融实验定量验证了三个组件的独立贡献，最终模型在沪深300测试集上准确率达到92.00%、风险召回率达到80.56%，同时超越了两项预设目标（85%准确率、80%召回率），验证了混合架构的有效性。</w:t>
      </w:r>
    </w:p>
    <w:p>
      <w:pPr>
        <w:spacing w:after="0" w:before="0" w:line="400" w:lineRule="exact"/>
        <w:ind w:firstLine="480"/>
        <w:jc w:val="both"/>
      </w:pPr>
      <w:r>
        <w:rPr>
          <w:rFonts w:ascii="宋体" w:cs="宋体" w:eastAsia="宋体" w:hAnsi="宋体"/>
          <w:b w:val="false"/>
          <w:bCs w:val="false"/>
          <w:i w:val="false"/>
          <w:iCs w:val="false"/>
          <w:sz w:val="24"/>
          <w:szCs w:val="24"/>
        </w:rPr>
        <w:t xml:space="preserve">在特征工程方面，构建了兼顾价格信息（开/收/高/低）、趋势特征（MA5/MA20）与风险情绪（波动率）的7维特征体系，并通过相关性分析论证了特征选取的合理性。针对风险事件类别稀少（约占18%）的不平衡问题，提出了基于频率反比的动态类别权重策略，有效将风险召回率提升了约12个百分点（相比不加权基线）。</w:t>
      </w:r>
    </w:p>
    <w:p>
      <w:pPr>
        <w:spacing w:after="0" w:before="0" w:line="400" w:lineRule="exact"/>
        <w:ind w:firstLine="480"/>
        <w:jc w:val="both"/>
      </w:pPr>
      <w:r>
        <w:rPr>
          <w:rFonts w:ascii="宋体" w:cs="宋体" w:eastAsia="宋体" w:hAnsi="宋体"/>
          <w:b w:val="false"/>
          <w:bCs w:val="false"/>
          <w:i w:val="false"/>
          <w:iCs w:val="false"/>
          <w:sz w:val="24"/>
          <w:szCs w:val="24"/>
        </w:rPr>
        <w:t xml:space="preserve">在工程实现方面，基于TensorFlow 2.x + Streamlit构建了完整的交互式Web应用，将数据自动采集、模型训练与推理、可视化展示集成为端到端的一体化系统，支持5类市场标的的实时风险预测，单次推理响应时间约3~5秒，实现了从算法原型到可用工具的完整工程落地。</w:t>
      </w:r>
    </w:p>
    <w:p>
      <w:pPr>
        <w:spacing w:after="0" w:before="0" w:line="400" w:lineRule="exact"/>
        <w:ind w:firstLine="480"/>
        <w:jc w:val="both"/>
      </w:pPr>
      <w:r>
        <w:rPr>
          <w:rFonts w:ascii="宋体" w:cs="宋体" w:eastAsia="宋体" w:hAnsi="宋体"/>
          <w:b w:val="false"/>
          <w:bCs w:val="false"/>
          <w:i w:val="false"/>
          <w:iCs w:val="false"/>
          <w:sz w:val="24"/>
          <w:szCs w:val="24"/>
        </w:rPr>
        <w:t xml:space="preserve">在系统设计方面，采用分层架构与模块化设计原则，将数据层、模型层与应用层严格解耦，各模块单向依赖，便于独立测试和替换，具有良好的可扩展性与可维护性。</w:t>
      </w:r>
    </w:p>
    <w:p>
      <w:pPr>
        <w:spacing w:after="100" w:before="200" w:line="480" w:lineRule="auto"/>
        <w:ind w:left="0" w:firstLine="0"/>
        <w:jc w:val="left"/>
      </w:pPr>
      <w:r>
        <w:rPr>
          <w:rFonts w:ascii="黑体" w:cs="黑体" w:eastAsia="黑体" w:hAnsi="黑体"/>
          <w:b/>
          <w:bCs/>
          <w:sz w:val="28"/>
          <w:szCs w:val="28"/>
        </w:rPr>
        <w:t xml:space="preserve">7.2  不足与展望</w:t>
      </w:r>
    </w:p>
    <w:p>
      <w:pPr>
        <w:spacing w:after="0" w:before="0" w:line="400" w:lineRule="exact"/>
        <w:ind w:firstLine="480"/>
        <w:jc w:val="both"/>
      </w:pPr>
      <w:r>
        <w:rPr>
          <w:rFonts w:ascii="宋体" w:cs="宋体" w:eastAsia="宋体" w:hAnsi="宋体"/>
          <w:b w:val="false"/>
          <w:bCs w:val="false"/>
          <w:i w:val="false"/>
          <w:iCs w:val="false"/>
          <w:sz w:val="24"/>
          <w:szCs w:val="24"/>
        </w:rPr>
        <w:t xml:space="preserve">本研究在取得上述成果的同时，仍存在以下不足，是未来工作的主要改进方向。</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一，特征维度有待扩展。当前特征体系仅包含价格类和波动率类基础技术指标，未引入基本面数据（市盈率、市净率、财务报表）、宏观经济数据（利率、通胀率、PMI）和文本情感数据（财经新闻情绪极性、社交媒体情绪指数）。多模态特征融合有望进一步提升预测精度，尤其在重大政策事件驱动的行情中，纯技术指标的预测能力往往严重受限。</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第二，预测时效单一。系统目前仅支持"次日"（T+1）风险预测，无法提供3日、5日或10日等多步前瞻性预警。构建多步预测模型（如seq2seq架构或多输出分类头）是未来的重要技术迭代方向。</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第三，可解释性有待深化。虽然当前已通过注意力权重分布提供了初步的可解释性，但注意力权重与具体市场事件、技术形态的对应关系尚未深入分析。引入SHAP（SHapley Additive exPlanations）等模型无关可解释性框架，有望提供更精细、更用户友好的特征贡献分析。</w:t>
      </w:r>
    </w:p>
    <w:p>
      <w:pPr>
        <w:spacing w:after="0" w:before="0" w:line="400" w:lineRule="exact"/>
        <w:ind w:firstLine="480"/>
        <w:jc w:val="both"/>
      </w:pPr>
      <w:r>
        <w:rPr>
          <w:rFonts w:ascii="宋体" w:cs="宋体" w:eastAsia="宋体" w:hAnsi="宋体"/>
          <w:b w:val="false"/>
          <w:bCs w:val="false"/>
          <w:i w:val="false"/>
          <w:iCs w:val="false"/>
          <w:sz w:val="24"/>
          <w:szCs w:val="24"/>
        </w:rPr>
        <w:t xml:space="preserve">第四，模型更新机制缺失。金融市场的统计特性会随宏观环境变化而发生结构性漂移（Concept Drift），固定参数的模型会随时间推移而性能退化。未来可引入在线学习或定期重训练机制，根据最新市场数据自动更新模型权重，保持预测能力的持续有效性。</w:t>
      </w:r>
    </w:p>
    <w:p>
      <w:pPr>
        <w:spacing w:after="0" w:before="0" w:line="400" w:lineRule="exact"/>
        <w:ind w:firstLine="480"/>
        <w:jc w:val="both"/>
      </w:pPr>
      <w:r>
        <w:rPr>
          <w:rFonts w:ascii="宋体" w:cs="宋体" w:eastAsia="宋体" w:hAnsi="宋体"/>
          <w:b w:val="false"/>
          <w:bCs w:val="false"/>
          <w:i w:val="false"/>
          <w:iCs w:val="false"/>
          <w:sz w:val="24"/>
          <w:szCs w:val="24"/>
        </w:rPr>
        <w:t xml:space="preserve">第五，部署扩展性不足。当前为本地单机部署，若需为更广泛的用户提供服务，需完成Docker容器化封装、云端部署（如使用阿里云、腾讯云等）、并发请求处理等工程化改造，并引入数据库替代文件存储以支持多用户场景。</w:t>
      </w:r>
    </w:p>
    <w:p>
      <w:r>
        <w:br w:type="page"/>
      </w:r>
    </w:p>
    <w:p>
      <w:pPr>
        <w:spacing w:after="360" w:before="360" w:line="400" w:lineRule="exact"/>
        <w:jc w:val="center"/>
      </w:pPr>
      <w:r>
        <w:rPr>
          <w:rFonts w:ascii="黑体" w:cs="黑体" w:eastAsia="黑体" w:hAnsi="黑体"/>
          <w:b/>
          <w:bCs/>
          <w:sz w:val="32"/>
          <w:szCs w:val="32"/>
        </w:rPr>
        <w:t xml:space="preserve">参考文献</w:t>
      </w:r>
    </w:p>
    <w:p>
      <w:pPr>
        <w:spacing w:after="0" w:before="0" w:line="400" w:lineRule="exact"/>
        <w:ind w:left="360" w:hanging="36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after="0" w:before="0" w:line="400" w:lineRule="exact"/>
        <w:ind w:left="360" w:hanging="360"/>
      </w:pPr>
      <w:r>
        <w:rPr>
          <w:rFonts w:ascii="宋体" w:cs="宋体" w:eastAsia="宋体" w:hAnsi="宋体"/>
          <w:sz w:val="21"/>
          <w:szCs w:val="21"/>
        </w:rPr>
        <w:t xml:space="preserve">[2] LeCun Y, Bengio Y, Hinton G. Deep learning[J]. Nature, 2015, 521(7553): 436-444.</w:t>
      </w:r>
    </w:p>
    <w:p>
      <w:pPr>
        <w:spacing w:after="0" w:before="0" w:line="400" w:lineRule="exact"/>
        <w:ind w:left="360" w:hanging="360"/>
      </w:pPr>
      <w:r>
        <w:rPr>
          <w:rFonts w:ascii="宋体" w:cs="宋体" w:eastAsia="宋体" w:hAnsi="宋体"/>
          <w:sz w:val="21"/>
          <w:szCs w:val="21"/>
        </w:rPr>
        <w:t xml:space="preserve">[3] 王强，刘洋. 深度学习在金融领域的应用综述[J]. 计算机学报，2023，46(5): 1023-1042.</w:t>
      </w:r>
    </w:p>
    <w:p>
      <w:pPr>
        <w:spacing w:after="0" w:before="0" w:line="400" w:lineRule="exact"/>
        <w:ind w:left="360" w:hanging="360"/>
      </w:pPr>
      <w:r>
        <w:rPr>
          <w:rFonts w:ascii="宋体" w:cs="宋体" w:eastAsia="宋体" w:hAnsi="宋体"/>
          <w:sz w:val="21"/>
          <w:szCs w:val="21"/>
        </w:rPr>
        <w:t xml:space="preserve">[4] Heaton J B, Polson N G, Witte J H. Deep learning for finance: deep portfolios[J]. Applied Stochastic Models in Business and Industry, 2017, 33(1): 3-12.</w:t>
      </w:r>
    </w:p>
    <w:p>
      <w:pPr>
        <w:spacing w:after="0" w:before="0" w:line="400" w:lineRule="exact"/>
        <w:ind w:left="360" w:hanging="360"/>
      </w:pPr>
      <w:r>
        <w:rPr>
          <w:rFonts w:ascii="宋体" w:cs="宋体" w:eastAsia="宋体" w:hAnsi="宋体"/>
          <w:sz w:val="21"/>
          <w:szCs w:val="21"/>
        </w:rPr>
        <w:t xml:space="preserve">[5] Fischer T, Krauss C. Deep learning with long short-term memory networks for financial market predictions[J]. European Journal of Operational Research, 2018, 270(2): 654-669.</w:t>
      </w:r>
    </w:p>
    <w:p>
      <w:pPr>
        <w:spacing w:after="0" w:before="0" w:line="400" w:lineRule="exact"/>
        <w:ind w:left="360" w:hanging="360"/>
      </w:pPr>
      <w:r>
        <w:rPr>
          <w:rFonts w:ascii="宋体" w:cs="宋体" w:eastAsia="宋体" w:hAnsi="宋体"/>
          <w:sz w:val="21"/>
          <w:szCs w:val="21"/>
        </w:rPr>
        <w:t xml:space="preserve">[6] Sezer O B, Gudelek M U, Ozbayoglu A M. Financial time series forecasting with deep learning: A systematic literature review: 2005-2019[J]. Applied Soft Computing, 2020, 90: 106181.</w:t>
      </w:r>
    </w:p>
    <w:p>
      <w:pPr>
        <w:spacing w:after="0" w:before="0" w:line="400" w:lineRule="exact"/>
        <w:ind w:left="360" w:hanging="360"/>
      </w:pPr>
      <w:r>
        <w:rPr>
          <w:rFonts w:ascii="宋体" w:cs="宋体" w:eastAsia="宋体" w:hAnsi="宋体"/>
          <w:sz w:val="21"/>
          <w:szCs w:val="21"/>
        </w:rPr>
        <w:t xml:space="preserve">[7] Chen K, Zhou Y, Dai F. A LSTM-based method for stock returns prediction: A case study of China stock market[C]// 2015 IEEE International Conference on Big Data. IEEE, 2015: 2823-2824.</w:t>
      </w:r>
    </w:p>
    <w:p>
      <w:pPr>
        <w:spacing w:after="0" w:before="0" w:line="400" w:lineRule="exact"/>
        <w:ind w:left="360" w:hanging="360"/>
      </w:pPr>
      <w:r>
        <w:rPr>
          <w:rFonts w:ascii="宋体" w:cs="宋体" w:eastAsia="宋体" w:hAnsi="宋体"/>
          <w:sz w:val="21"/>
          <w:szCs w:val="21"/>
        </w:rPr>
        <w:t xml:space="preserve">[8] Feng F, He X, Wang X, et al. Temporal relational ranking for stock prediction[J]. ACM Transactions on Information Systems, 2019, 37(2): 1-30.</w:t>
      </w:r>
    </w:p>
    <w:p>
      <w:pPr>
        <w:spacing w:after="0" w:before="0" w:line="400" w:lineRule="exact"/>
        <w:ind w:left="360" w:hanging="360"/>
      </w:pPr>
      <w:r>
        <w:rPr>
          <w:rFonts w:ascii="宋体" w:cs="宋体" w:eastAsia="宋体" w:hAnsi="宋体"/>
          <w:sz w:val="21"/>
          <w:szCs w:val="21"/>
        </w:rPr>
        <w:t xml:space="preserve">[9] Li W, Bao R, Harimoto K, et al. Modeling the stock relation with graph network for overnight stock movement prediction[C]// Proceedings of the 29th International Joint Conference on Artificial Intelligence, 2020: 4541-4547.</w:t>
      </w:r>
    </w:p>
    <w:p>
      <w:pPr>
        <w:spacing w:after="0" w:before="0" w:line="400" w:lineRule="exact"/>
        <w:ind w:left="360" w:hanging="360"/>
      </w:pPr>
      <w:r>
        <w:rPr>
          <w:rFonts w:ascii="宋体" w:cs="宋体" w:eastAsia="宋体" w:hAnsi="宋体"/>
          <w:sz w:val="21"/>
          <w:szCs w:val="21"/>
        </w:rPr>
        <w:t xml:space="preserve">[10] 张伟，李娜. 基于LSTM的沪深300指数预测研究[J]. 计算机应用与软件，2022，39(8): 118-124.</w:t>
      </w:r>
    </w:p>
    <w:p>
      <w:pPr>
        <w:spacing w:after="0" w:before="0" w:line="400" w:lineRule="exact"/>
        <w:ind w:left="360" w:hanging="360"/>
      </w:pPr>
      <w:r>
        <w:rPr>
          <w:rFonts w:ascii="宋体" w:cs="宋体" w:eastAsia="宋体" w:hAnsi="宋体"/>
          <w:sz w:val="21"/>
          <w:szCs w:val="21"/>
        </w:rPr>
        <w:t xml:space="preserve">[11] 李明，王芳. 基于GRU和注意力机制的股票价格预测[J]. 计算机工程与应用，2023，59(12): 245-252.</w:t>
      </w:r>
    </w:p>
    <w:p>
      <w:pPr>
        <w:spacing w:after="0" w:before="0" w:line="400" w:lineRule="exact"/>
        <w:ind w:left="360" w:hanging="360"/>
      </w:pPr>
      <w:r>
        <w:rPr>
          <w:rFonts w:ascii="宋体" w:cs="宋体" w:eastAsia="宋体" w:hAnsi="宋体"/>
          <w:sz w:val="21"/>
          <w:szCs w:val="21"/>
        </w:rPr>
        <w:t xml:space="preserve">[12] 王强，赵敏. 深度强化学习在量化交易中的应用研究[J]. 软件学报，2023，34(7): 3215-3230.</w:t>
      </w:r>
    </w:p>
    <w:p>
      <w:pPr>
        <w:spacing w:after="0" w:before="0" w:line="400" w:lineRule="exact"/>
        <w:ind w:left="360" w:hanging="360"/>
      </w:pPr>
      <w:r>
        <w:rPr>
          <w:rFonts w:ascii="宋体" w:cs="宋体" w:eastAsia="宋体" w:hAnsi="宋体"/>
          <w:sz w:val="21"/>
          <w:szCs w:val="21"/>
        </w:rPr>
        <w:t xml:space="preserve">[13] LeCun Y, Bottou L, Bengio Y, et al. Gradient-based learning applied to document recognition[J]. Proceedings of the IEEE, 1998, 86(11): 2278-2324.</w:t>
      </w:r>
    </w:p>
    <w:p>
      <w:pPr>
        <w:spacing w:after="0" w:before="0" w:line="400" w:lineRule="exact"/>
        <w:ind w:left="360" w:hanging="360"/>
      </w:pPr>
      <w:r>
        <w:rPr>
          <w:rFonts w:ascii="宋体" w:cs="宋体" w:eastAsia="宋体" w:hAnsi="宋体"/>
          <w:sz w:val="21"/>
          <w:szCs w:val="21"/>
        </w:rPr>
        <w:t xml:space="preserve">[14] Bengio Y, Simard P, Frasconi P. Learning long-term dependencies with gradient descent is difficult[J]. IEEE Transactions on Neural Networks, 1994, 5(2): 157-166.</w:t>
      </w:r>
    </w:p>
    <w:p>
      <w:pPr>
        <w:spacing w:after="0" w:before="0" w:line="400" w:lineRule="exact"/>
        <w:ind w:left="360" w:hanging="360"/>
      </w:pPr>
      <w:r>
        <w:rPr>
          <w:rFonts w:ascii="宋体" w:cs="宋体" w:eastAsia="宋体" w:hAnsi="宋体"/>
          <w:sz w:val="21"/>
          <w:szCs w:val="21"/>
        </w:rPr>
        <w:t xml:space="preserve">[15] Hochreiter S, Schmidhuber J. Long short-term memory[J]. Neural Computation, 1997, 9(8): 1735-1780.</w:t>
      </w:r>
    </w:p>
    <w:p>
      <w:pPr>
        <w:spacing w:after="0" w:before="0" w:line="400" w:lineRule="exact"/>
        <w:ind w:left="360" w:hanging="360"/>
      </w:pPr>
      <w:r>
        <w:rPr>
          <w:rFonts w:ascii="宋体" w:cs="宋体" w:eastAsia="宋体" w:hAnsi="宋体"/>
          <w:sz w:val="21"/>
          <w:szCs w:val="21"/>
        </w:rPr>
        <w:t xml:space="preserve">[16] Bahdanau D, Cho K, Bengio Y. Neural machine translation by jointly learning to align and translate[J]. arXiv preprint arXiv:1409.0473, 2014.</w:t>
      </w:r>
    </w:p>
    <w:p>
      <w:pPr>
        <w:spacing w:after="0" w:before="0" w:line="400" w:lineRule="exact"/>
        <w:ind w:left="360" w:hanging="360"/>
      </w:pPr>
      <w:r>
        <w:rPr>
          <w:rFonts w:ascii="宋体" w:cs="宋体" w:eastAsia="宋体" w:hAnsi="宋体"/>
          <w:sz w:val="21"/>
          <w:szCs w:val="21"/>
        </w:rPr>
        <w:t xml:space="preserve">[17] Vaswani A, Shazeer N, Parmar N, et al. Attention is all you need[C]// Advances in Neural Information Processing Systems, 2017: 5998-6008.</w:t>
      </w:r>
    </w:p>
    <w:p>
      <w:pPr>
        <w:spacing w:after="0" w:before="0" w:line="400" w:lineRule="exact"/>
        <w:ind w:left="360" w:hanging="360"/>
      </w:pPr>
      <w:r>
        <w:rPr>
          <w:rFonts w:ascii="宋体" w:cs="宋体" w:eastAsia="宋体" w:hAnsi="宋体"/>
          <w:sz w:val="21"/>
          <w:szCs w:val="21"/>
        </w:rPr>
        <w:t xml:space="preserve">[18] Goodfellow I, Bengio Y, Courville A. Deep Learning[M]. MIT Press, 2016.</w:t>
      </w:r>
    </w:p>
    <w:p>
      <w:pPr>
        <w:spacing w:after="0" w:before="0" w:line="400" w:lineRule="exact"/>
        <w:ind w:left="360" w:hanging="360"/>
      </w:pPr>
      <w:r>
        <w:rPr>
          <w:rFonts w:ascii="宋体" w:cs="宋体" w:eastAsia="宋体" w:hAnsi="宋体"/>
          <w:sz w:val="21"/>
          <w:szCs w:val="21"/>
        </w:rPr>
        <w:t xml:space="preserve">[19] Kingma D P, Ba J. Adam: A method for stochastic optimization[J]. arXiv preprint arXiv:1412.6980, 2014.</w:t>
      </w:r>
    </w:p>
    <w:p>
      <w:pPr>
        <w:spacing w:after="0" w:before="0" w:line="400" w:lineRule="exact"/>
        <w:ind w:left="360" w:hanging="360"/>
      </w:pPr>
      <w:r>
        <w:rPr>
          <w:rFonts w:ascii="宋体" w:cs="宋体" w:eastAsia="宋体" w:hAnsi="宋体"/>
          <w:sz w:val="21"/>
          <w:szCs w:val="21"/>
        </w:rPr>
        <w:t xml:space="preserve">[20] Srivastava N, Hinton G, Krizhevsky A, et al. Dropout: A simple way to prevent neural networks from overfitting[J]. Journal of Machine Learning Research, 2014, 15(1): 1929-1958.</w:t>
      </w:r>
    </w:p>
    <w:p>
      <w:pPr>
        <w:spacing w:after="0" w:before="0" w:line="400" w:lineRule="exact"/>
        <w:ind w:left="360" w:hanging="360"/>
      </w:pPr>
      <w:r>
        <w:rPr>
          <w:rFonts w:ascii="宋体" w:cs="宋体" w:eastAsia="宋体" w:hAnsi="宋体"/>
          <w:sz w:val="21"/>
          <w:szCs w:val="21"/>
        </w:rPr>
        <w:t xml:space="preserve">[21] 黄宇，李明. 金融时间序列预测中的深度学习方法比较研究[J]. 系统工程理论与实践，2023，43(6): 1567-1579.</w:t>
      </w:r>
    </w:p>
    <w:p>
      <w:pPr>
        <w:spacing w:after="0" w:before="0" w:line="400" w:lineRule="exact"/>
        <w:ind w:left="360" w:hanging="360"/>
      </w:pPr>
      <w:r>
        <w:rPr>
          <w:rFonts w:ascii="宋体" w:cs="宋体" w:eastAsia="宋体" w:hAnsi="宋体"/>
          <w:sz w:val="21"/>
          <w:szCs w:val="21"/>
        </w:rPr>
        <w:t xml:space="preserve">[22] AKShare开发团队. AKShare金融数据接口使用手册[EB/OL]. [2024-12-01]. https://akshare.akfamily.xyz/.</w:t>
      </w:r>
    </w:p>
    <w:p>
      <w:r>
        <w:br w:type="page"/>
      </w:r>
    </w:p>
    <w:p>
      <w:pPr>
        <w:spacing w:after="360" w:before="0" w:line="400" w:lineRule="exact"/>
        <w:jc w:val="left"/>
      </w:pPr>
      <w:r>
        <w:rPr>
          <w:rFonts w:ascii="黑体" w:cs="黑体" w:eastAsia="黑体" w:hAnsi="黑体"/>
          <w:b/>
          <w:bCs/>
          <w:sz w:val="30"/>
          <w:szCs w:val="30"/>
        </w:rPr>
        <w:t xml:space="preserve">附  录</w:t>
      </w:r>
    </w:p>
    <w:p>
      <w:pPr>
        <w:spacing w:after="240" w:before="240" w:line="400" w:lineRule="exact"/>
        <w:jc w:val="left"/>
      </w:pPr>
      <w:r>
        <w:rPr>
          <w:rFonts w:ascii="黑体" w:cs="黑体" w:eastAsia="黑体" w:hAnsi="黑体"/>
          <w:b/>
          <w:bCs/>
          <w:sz w:val="30"/>
          <w:szCs w:val="30"/>
        </w:rPr>
        <w:t xml:space="preserve">附录1  模型定义完整代码（model.py）</w:t>
      </w:r>
    </w:p>
    <w:p>
      <w:pPr>
        <w:spacing w:line="280" w:lineRule="exact"/>
        <w:ind w:left="480"/>
      </w:pPr>
      <w:r>
        <w:rPr>
          <w:rFonts w:ascii="Courier New" w:cs="Courier New" w:eastAsia="Courier New" w:hAnsi="Courier New"/>
          <w:sz w:val="18"/>
          <w:szCs w:val="18"/>
        </w:rPr>
        <w:t xml:space="preserve">import tensorflow as tf</w:t>
      </w:r>
    </w:p>
    <w:p>
      <w:pPr>
        <w:spacing w:line="280" w:lineRule="exact"/>
        <w:ind w:left="480"/>
      </w:pPr>
      <w:r>
        <w:rPr>
          <w:rFonts w:ascii="Courier New" w:cs="Courier New" w:eastAsia="Courier New" w:hAnsi="Courier New"/>
          <w:sz w:val="18"/>
          <w:szCs w:val="18"/>
        </w:rPr>
        <w:t xml:space="preserve">from tensorflow.keras.models import Model</w:t>
      </w:r>
    </w:p>
    <w:p>
      <w:pPr>
        <w:spacing w:line="280" w:lineRule="exact"/>
        <w:ind w:left="480"/>
      </w:pPr>
      <w:r>
        <w:rPr>
          <w:rFonts w:ascii="Courier New" w:cs="Courier New" w:eastAsia="Courier New" w:hAnsi="Courier New"/>
          <w:sz w:val="18"/>
          <w:szCs w:val="18"/>
        </w:rPr>
        <w:t xml:space="preserve">from tensorflow.keras.layers import (</w:t>
      </w:r>
    </w:p>
    <w:p>
      <w:pPr>
        <w:spacing w:line="280" w:lineRule="exact"/>
        <w:ind w:left="480"/>
      </w:pPr>
      <w:r>
        <w:rPr>
          <w:rFonts w:ascii="Courier New" w:cs="Courier New" w:eastAsia="Courier New" w:hAnsi="Courier New"/>
          <w:sz w:val="18"/>
          <w:szCs w:val="18"/>
        </w:rPr>
        <w:t xml:space="preserve">    Input, Conv1D, MaxPooling1D, LSTM,</w:t>
      </w:r>
    </w:p>
    <w:p>
      <w:pPr>
        <w:spacing w:line="280" w:lineRule="exact"/>
        <w:ind w:left="480"/>
      </w:pPr>
      <w:r>
        <w:rPr>
          <w:rFonts w:ascii="Courier New" w:cs="Courier New" w:eastAsia="Courier New" w:hAnsi="Courier New"/>
          <w:sz w:val="18"/>
          <w:szCs w:val="18"/>
        </w:rPr>
        <w:t xml:space="preserve">    Dense, Attention, Flatten, Dropout)</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def create_model(input_shape):</w:t>
      </w:r>
    </w:p>
    <w:p>
      <w:pPr>
        <w:spacing w:line="280" w:lineRule="exact"/>
        <w:ind w:left="480"/>
      </w:pPr>
      <w:r>
        <w:rPr>
          <w:rFonts w:ascii="Courier New" w:cs="Courier New" w:eastAsia="Courier New" w:hAnsi="Courier New"/>
          <w:sz w:val="18"/>
          <w:szCs w:val="18"/>
        </w:rPr>
        <w:t xml:space="preserve">    """构建CNN-LSTM-Attention混合模型"""</w:t>
      </w:r>
    </w:p>
    <w:p>
      <w:pPr>
        <w:spacing w:line="280" w:lineRule="exact"/>
        <w:ind w:left="480"/>
      </w:pPr>
      <w:r>
        <w:rPr>
          <w:rFonts w:ascii="Courier New" w:cs="Courier New" w:eastAsia="Courier New" w:hAnsi="Courier New"/>
          <w:sz w:val="18"/>
          <w:szCs w:val="18"/>
        </w:rPr>
        <w:t xml:space="preserve">    inputs = Input(shape=input_shape)</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 CNN层 - 提取短期局部波动特征</w:t>
      </w:r>
    </w:p>
    <w:p>
      <w:pPr>
        <w:spacing w:line="280" w:lineRule="exact"/>
        <w:ind w:left="480"/>
      </w:pPr>
      <w:r>
        <w:rPr>
          <w:rFonts w:ascii="Courier New" w:cs="Courier New" w:eastAsia="Courier New" w:hAnsi="Courier New"/>
          <w:sz w:val="18"/>
          <w:szCs w:val="18"/>
        </w:rPr>
        <w:t xml:space="preserve">    x = Conv1D(64, kernel_size=3, activation="relu",</w:t>
      </w:r>
    </w:p>
    <w:p>
      <w:pPr>
        <w:spacing w:line="280" w:lineRule="exact"/>
        <w:ind w:left="480"/>
      </w:pPr>
      <w:r>
        <w:rPr>
          <w:rFonts w:ascii="Courier New" w:cs="Courier New" w:eastAsia="Courier New" w:hAnsi="Courier New"/>
          <w:sz w:val="18"/>
          <w:szCs w:val="18"/>
        </w:rPr>
        <w:t xml:space="preserve">               padding="same")(inputs)</w:t>
      </w:r>
    </w:p>
    <w:p>
      <w:pPr>
        <w:spacing w:line="280" w:lineRule="exact"/>
        <w:ind w:left="480"/>
      </w:pPr>
      <w:r>
        <w:rPr>
          <w:rFonts w:ascii="Courier New" w:cs="Courier New" w:eastAsia="Courier New" w:hAnsi="Courier New"/>
          <w:sz w:val="18"/>
          <w:szCs w:val="18"/>
        </w:rPr>
        <w:t xml:space="preserve">    x = MaxPooling1D(pool_size=2)(x)</w:t>
      </w:r>
    </w:p>
    <w:p>
      <w:pPr>
        <w:spacing w:line="280" w:lineRule="exact"/>
        <w:ind w:left="480"/>
      </w:pPr>
      <w:r>
        <w:rPr>
          <w:rFonts w:ascii="Courier New" w:cs="Courier New" w:eastAsia="Courier New" w:hAnsi="Courier New"/>
          <w:sz w:val="18"/>
          <w:szCs w:val="18"/>
        </w:rPr>
        <w:t xml:space="preserve">    x = Conv1D(128, kernel_size=3, activation="relu",</w:t>
      </w:r>
    </w:p>
    <w:p>
      <w:pPr>
        <w:spacing w:line="280" w:lineRule="exact"/>
        <w:ind w:left="480"/>
      </w:pPr>
      <w:r>
        <w:rPr>
          <w:rFonts w:ascii="Courier New" w:cs="Courier New" w:eastAsia="Courier New" w:hAnsi="Courier New"/>
          <w:sz w:val="18"/>
          <w:szCs w:val="18"/>
        </w:rPr>
        <w:t xml:space="preserve">               padding="same")(x)</w:t>
      </w:r>
    </w:p>
    <w:p>
      <w:pPr>
        <w:spacing w:line="280" w:lineRule="exact"/>
        <w:ind w:left="480"/>
      </w:pPr>
      <w:r>
        <w:rPr>
          <w:rFonts w:ascii="Courier New" w:cs="Courier New" w:eastAsia="Courier New" w:hAnsi="Courier New"/>
          <w:sz w:val="18"/>
          <w:szCs w:val="18"/>
        </w:rPr>
        <w:t xml:space="preserve">    x = MaxPooling1D(pool_size=2)(x)</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 LSTM层 - 学习长程时序依赖</w:t>
      </w:r>
    </w:p>
    <w:p>
      <w:pPr>
        <w:spacing w:line="280" w:lineRule="exact"/>
        <w:ind w:left="480"/>
      </w:pPr>
      <w:r>
        <w:rPr>
          <w:rFonts w:ascii="Courier New" w:cs="Courier New" w:eastAsia="Courier New" w:hAnsi="Courier New"/>
          <w:sz w:val="18"/>
          <w:szCs w:val="18"/>
        </w:rPr>
        <w:t xml:space="preserve">    x = LSTM(128, return_sequences=True)(x)</w:t>
      </w:r>
    </w:p>
    <w:p>
      <w:pPr>
        <w:spacing w:line="280" w:lineRule="exact"/>
        <w:ind w:left="480"/>
      </w:pPr>
      <w:r>
        <w:rPr>
          <w:rFonts w:ascii="Courier New" w:cs="Courier New" w:eastAsia="Courier New" w:hAnsi="Courier New"/>
          <w:sz w:val="18"/>
          <w:szCs w:val="18"/>
        </w:rPr>
        <w:t xml:space="preserve">    x = LSTM(64, return_sequences=True)(x)</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 Attention层 - 动态关注关键时间步</w:t>
      </w:r>
    </w:p>
    <w:p>
      <w:pPr>
        <w:spacing w:line="280" w:lineRule="exact"/>
        <w:ind w:left="480"/>
      </w:pPr>
      <w:r>
        <w:rPr>
          <w:rFonts w:ascii="Courier New" w:cs="Courier New" w:eastAsia="Courier New" w:hAnsi="Courier New"/>
          <w:sz w:val="18"/>
          <w:szCs w:val="18"/>
        </w:rPr>
        <w:t xml:space="preserve">    attn = Attention()([x, x])</w:t>
      </w:r>
    </w:p>
    <w:p>
      <w:pPr>
        <w:spacing w:line="280" w:lineRule="exact"/>
        <w:ind w:left="480"/>
      </w:pPr>
      <w:r>
        <w:rPr>
          <w:rFonts w:ascii="Courier New" w:cs="Courier New" w:eastAsia="Courier New" w:hAnsi="Courier New"/>
          <w:sz w:val="18"/>
          <w:szCs w:val="18"/>
        </w:rPr>
        <w:t xml:space="preserve">    x = Flatten()(attn)</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 全连接分类层</w:t>
      </w:r>
    </w:p>
    <w:p>
      <w:pPr>
        <w:spacing w:line="280" w:lineRule="exact"/>
        <w:ind w:left="480"/>
      </w:pPr>
      <w:r>
        <w:rPr>
          <w:rFonts w:ascii="Courier New" w:cs="Courier New" w:eastAsia="Courier New" w:hAnsi="Courier New"/>
          <w:sz w:val="18"/>
          <w:szCs w:val="18"/>
        </w:rPr>
        <w:t xml:space="preserve">    x = Dense(64, activation="relu")(x)</w:t>
      </w:r>
    </w:p>
    <w:p>
      <w:pPr>
        <w:spacing w:line="280" w:lineRule="exact"/>
        <w:ind w:left="480"/>
      </w:pPr>
      <w:r>
        <w:rPr>
          <w:rFonts w:ascii="Courier New" w:cs="Courier New" w:eastAsia="Courier New" w:hAnsi="Courier New"/>
          <w:sz w:val="18"/>
          <w:szCs w:val="18"/>
        </w:rPr>
        <w:t xml:space="preserve">    x = Dropout(0.5)(x)</w:t>
      </w:r>
    </w:p>
    <w:p>
      <w:pPr>
        <w:spacing w:line="280" w:lineRule="exact"/>
        <w:ind w:left="480"/>
      </w:pPr>
      <w:r>
        <w:rPr>
          <w:rFonts w:ascii="Courier New" w:cs="Courier New" w:eastAsia="Courier New" w:hAnsi="Courier New"/>
          <w:sz w:val="18"/>
          <w:szCs w:val="18"/>
        </w:rPr>
        <w:t xml:space="preserve">    x = Dense(32, activation="relu")(x)</w:t>
      </w:r>
    </w:p>
    <w:p>
      <w:pPr>
        <w:spacing w:line="280" w:lineRule="exact"/>
        <w:ind w:left="480"/>
      </w:pPr>
      <w:r>
        <w:rPr>
          <w:rFonts w:ascii="Courier New" w:cs="Courier New" w:eastAsia="Courier New" w:hAnsi="Courier New"/>
          <w:sz w:val="18"/>
          <w:szCs w:val="18"/>
        </w:rPr>
        <w:t xml:space="preserve">    outputs = Dense(1, activation="sigmoid")(x)</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    model = Model(inputs=inputs, outputs=outputs)</w:t>
      </w:r>
    </w:p>
    <w:p>
      <w:pPr>
        <w:spacing w:line="280" w:lineRule="exact"/>
        <w:ind w:left="480"/>
      </w:pPr>
      <w:r>
        <w:rPr>
          <w:rFonts w:ascii="Courier New" w:cs="Courier New" w:eastAsia="Courier New" w:hAnsi="Courier New"/>
          <w:sz w:val="18"/>
          <w:szCs w:val="18"/>
        </w:rPr>
        <w:t xml:space="preserve">    model.compile(optimizer="adam",</w:t>
      </w:r>
    </w:p>
    <w:p>
      <w:pPr>
        <w:spacing w:line="280" w:lineRule="exact"/>
        <w:ind w:left="480"/>
      </w:pPr>
      <w:r>
        <w:rPr>
          <w:rFonts w:ascii="Courier New" w:cs="Courier New" w:eastAsia="Courier New" w:hAnsi="Courier New"/>
          <w:sz w:val="18"/>
          <w:szCs w:val="18"/>
        </w:rPr>
        <w:t xml:space="preserve">                  loss="binary_crossentropy",</w:t>
      </w:r>
    </w:p>
    <w:p>
      <w:pPr>
        <w:spacing w:line="280" w:lineRule="exact"/>
        <w:ind w:left="480"/>
      </w:pPr>
      <w:r>
        <w:rPr>
          <w:rFonts w:ascii="Courier New" w:cs="Courier New" w:eastAsia="Courier New" w:hAnsi="Courier New"/>
          <w:sz w:val="18"/>
          <w:szCs w:val="18"/>
        </w:rPr>
        <w:t xml:space="preserve">                  metrics=["accuracy"])</w:t>
      </w:r>
    </w:p>
    <w:p>
      <w:pPr>
        <w:spacing w:line="280" w:lineRule="exact"/>
        <w:ind w:left="480"/>
      </w:pPr>
      <w:r>
        <w:rPr>
          <w:rFonts w:ascii="Courier New" w:cs="Courier New" w:eastAsia="Courier New" w:hAnsi="Courier New"/>
          <w:sz w:val="18"/>
          <w:szCs w:val="18"/>
        </w:rPr>
        <w:t xml:space="preserve">    return model</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def create_stock_model():</w:t>
      </w:r>
    </w:p>
    <w:p>
      <w:pPr>
        <w:spacing w:line="280" w:lineRule="exact"/>
        <w:ind w:left="480"/>
      </w:pPr>
      <w:r>
        <w:rPr>
          <w:rFonts w:ascii="Courier New" w:cs="Courier New" w:eastAsia="Courier New" w:hAnsi="Courier New"/>
          <w:sz w:val="18"/>
          <w:szCs w:val="18"/>
        </w:rPr>
        <w:t xml:space="preserve">    return create_model((30, 7))   # 30天 x 7特征</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def create_gold_model():</w:t>
      </w:r>
    </w:p>
    <w:p>
      <w:pPr>
        <w:spacing w:line="280" w:lineRule="exact"/>
        <w:ind w:left="480"/>
      </w:pPr>
      <w:r>
        <w:rPr>
          <w:rFonts w:ascii="Courier New" w:cs="Courier New" w:eastAsia="Courier New" w:hAnsi="Courier New"/>
          <w:sz w:val="18"/>
          <w:szCs w:val="18"/>
        </w:rPr>
        <w:t xml:space="preserve">    return create_model((30, 7))</w:t>
      </w:r>
    </w:p>
    <w:p>
      <w:pPr>
        <w:spacing w:line="280" w:lineRule="exact"/>
        <w:ind w:left="480"/>
      </w:pPr>
      <w:r>
        <w:rPr>
          <w:rFonts w:ascii="Courier New" w:cs="Courier New" w:eastAsia="Courier New" w:hAnsi="Courier New"/>
          <w:sz w:val="18"/>
          <w:szCs w:val="18"/>
        </w:rPr>
        <w:t xml:space="preserve"/>
      </w:r>
    </w:p>
    <w:p>
      <w:pPr>
        <w:spacing w:line="280" w:lineRule="exact"/>
        <w:ind w:left="480"/>
      </w:pPr>
      <w:r>
        <w:rPr>
          <w:rFonts w:ascii="Courier New" w:cs="Courier New" w:eastAsia="Courier New" w:hAnsi="Courier New"/>
          <w:sz w:val="18"/>
          <w:szCs w:val="18"/>
        </w:rPr>
        <w:t xml:space="preserve">def create_combined_model():</w:t>
      </w:r>
    </w:p>
    <w:p>
      <w:pPr>
        <w:spacing w:line="280" w:lineRule="exact"/>
        <w:ind w:left="480"/>
      </w:pPr>
      <w:r>
        <w:rPr>
          <w:rFonts w:ascii="Courier New" w:cs="Courier New" w:eastAsia="Courier New" w:hAnsi="Courier New"/>
          <w:sz w:val="18"/>
          <w:szCs w:val="18"/>
        </w:rPr>
        <w:t xml:space="preserve">    return create_model((30, 14))  # 30天 x 14特征（股票+黄金）</w:t>
      </w:r>
    </w:p>
    <w:p>
      <w:pPr>
        <w:spacing w:line="400" w:lineRule="exact"/>
      </w:pPr>
      <w:r>
        <w:rPr>
          <w:rFonts w:ascii="宋体" w:cs="宋体" w:eastAsia="宋体" w:hAnsi="宋体"/>
          <w:sz w:val="24"/>
          <w:szCs w:val="24"/>
        </w:rPr>
        <w:t xml:space="preserve"/>
      </w:r>
    </w:p>
    <w:p>
      <w:pPr>
        <w:spacing w:after="240" w:before="240" w:line="400" w:lineRule="exact"/>
        <w:jc w:val="left"/>
      </w:pPr>
      <w:r>
        <w:rPr>
          <w:rFonts w:ascii="黑体" w:cs="黑体" w:eastAsia="黑体" w:hAnsi="黑体"/>
          <w:b/>
          <w:bCs/>
          <w:sz w:val="30"/>
          <w:szCs w:val="30"/>
        </w:rPr>
        <w:t xml:space="preserve">附录2  运行环境配置（requirements.txt）</w:t>
      </w:r>
    </w:p>
    <w:p>
      <w:pPr>
        <w:spacing w:line="280" w:lineRule="exact"/>
        <w:ind w:left="480"/>
      </w:pPr>
      <w:r>
        <w:rPr>
          <w:rFonts w:ascii="Courier New" w:cs="Courier New" w:eastAsia="Courier New" w:hAnsi="Courier New"/>
          <w:sz w:val="18"/>
          <w:szCs w:val="18"/>
        </w:rPr>
        <w:t xml:space="preserve">tensorflow&gt;=2.8.0</w:t>
      </w:r>
    </w:p>
    <w:p>
      <w:pPr>
        <w:spacing w:line="280" w:lineRule="exact"/>
        <w:ind w:left="480"/>
      </w:pPr>
      <w:r>
        <w:rPr>
          <w:rFonts w:ascii="Courier New" w:cs="Courier New" w:eastAsia="Courier New" w:hAnsi="Courier New"/>
          <w:sz w:val="18"/>
          <w:szCs w:val="18"/>
        </w:rPr>
        <w:t xml:space="preserve">pandas&gt;=1.3.0</w:t>
      </w:r>
    </w:p>
    <w:p>
      <w:pPr>
        <w:spacing w:line="280" w:lineRule="exact"/>
        <w:ind w:left="480"/>
      </w:pPr>
      <w:r>
        <w:rPr>
          <w:rFonts w:ascii="Courier New" w:cs="Courier New" w:eastAsia="Courier New" w:hAnsi="Courier New"/>
          <w:sz w:val="18"/>
          <w:szCs w:val="18"/>
        </w:rPr>
        <w:t xml:space="preserve">numpy&gt;=1.21.0</w:t>
      </w:r>
    </w:p>
    <w:p>
      <w:pPr>
        <w:spacing w:line="280" w:lineRule="exact"/>
        <w:ind w:left="480"/>
      </w:pPr>
      <w:r>
        <w:rPr>
          <w:rFonts w:ascii="Courier New" w:cs="Courier New" w:eastAsia="Courier New" w:hAnsi="Courier New"/>
          <w:sz w:val="18"/>
          <w:szCs w:val="18"/>
        </w:rPr>
        <w:t xml:space="preserve">scikit-learn&gt;=0.24.0</w:t>
      </w:r>
    </w:p>
    <w:p>
      <w:pPr>
        <w:spacing w:line="280" w:lineRule="exact"/>
        <w:ind w:left="480"/>
      </w:pPr>
      <w:r>
        <w:rPr>
          <w:rFonts w:ascii="Courier New" w:cs="Courier New" w:eastAsia="Courier New" w:hAnsi="Courier New"/>
          <w:sz w:val="18"/>
          <w:szCs w:val="18"/>
        </w:rPr>
        <w:t xml:space="preserve">akshare&gt;=1.7.0</w:t>
      </w:r>
    </w:p>
    <w:p>
      <w:pPr>
        <w:spacing w:line="280" w:lineRule="exact"/>
        <w:ind w:left="480"/>
      </w:pPr>
      <w:r>
        <w:rPr>
          <w:rFonts w:ascii="Courier New" w:cs="Courier New" w:eastAsia="Courier New" w:hAnsi="Courier New"/>
          <w:sz w:val="18"/>
          <w:szCs w:val="18"/>
        </w:rPr>
        <w:t xml:space="preserve">streamlit&gt;=1.10.0</w:t>
      </w:r>
    </w:p>
    <w:p>
      <w:pPr>
        <w:spacing w:line="280" w:lineRule="exact"/>
        <w:ind w:left="480"/>
      </w:pPr>
      <w:r>
        <w:rPr>
          <w:rFonts w:ascii="Courier New" w:cs="Courier New" w:eastAsia="Courier New" w:hAnsi="Courier New"/>
          <w:sz w:val="18"/>
          <w:szCs w:val="18"/>
        </w:rPr>
        <w:t xml:space="preserve">plotly&gt;=5.5.0</w:t>
      </w:r>
    </w:p>
    <w:p>
      <w:pPr>
        <w:spacing w:line="280" w:lineRule="exact"/>
        <w:ind w:left="480"/>
      </w:pPr>
      <w:r>
        <w:rPr>
          <w:rFonts w:ascii="Courier New" w:cs="Courier New" w:eastAsia="Courier New" w:hAnsi="Courier New"/>
          <w:sz w:val="18"/>
          <w:szCs w:val="18"/>
        </w:rPr>
        <w:t xml:space="preserve">joblib&gt;=1.1.0</w:t>
      </w:r>
    </w:p>
    <w:p>
      <w:pPr>
        <w:spacing w:line="400" w:lineRule="exact"/>
      </w:pPr>
      <w:r>
        <w:rPr>
          <w:rFonts w:ascii="宋体" w:cs="宋体" w:eastAsia="宋体" w:hAnsi="宋体"/>
          <w:sz w:val="24"/>
          <w:szCs w:val="24"/>
        </w:rPr>
        <w:t xml:space="preserve"/>
      </w:r>
    </w:p>
    <w:p>
      <w:pPr>
        <w:spacing w:line="400" w:lineRule="exact"/>
        <w:ind w:firstLine="480"/>
      </w:pPr>
      <w:r>
        <w:rPr>
          <w:rFonts w:ascii="宋体" w:cs="宋体" w:eastAsia="宋体" w:hAnsi="宋体"/>
          <w:b w:val="false"/>
          <w:bCs w:val="false"/>
          <w:sz w:val="24"/>
          <w:szCs w:val="24"/>
        </w:rPr>
        <w:t xml:space="preserve">运行步骤：</w:t>
      </w:r>
    </w:p>
    <w:p>
      <w:pPr>
        <w:spacing w:line="280" w:lineRule="exact"/>
        <w:ind w:left="480"/>
      </w:pPr>
      <w:r>
        <w:rPr>
          <w:rFonts w:ascii="Courier New" w:cs="Courier New" w:eastAsia="Courier New" w:hAnsi="Courier New"/>
          <w:sz w:val="18"/>
          <w:szCs w:val="18"/>
        </w:rPr>
        <w:t xml:space="preserve"># 步骤1: 下载原始行情数据</w:t>
      </w:r>
    </w:p>
    <w:p>
      <w:pPr>
        <w:spacing w:line="280" w:lineRule="exact"/>
        <w:ind w:left="480"/>
      </w:pPr>
      <w:r>
        <w:rPr>
          <w:rFonts w:ascii="Courier New" w:cs="Courier New" w:eastAsia="Courier New" w:hAnsi="Courier New"/>
          <w:sz w:val="18"/>
          <w:szCs w:val="18"/>
        </w:rPr>
        <w:t xml:space="preserve">python data_download.py</w:t>
      </w:r>
    </w:p>
    <w:p>
      <w:pPr>
        <w:spacing w:line="280" w:lineRule="exact"/>
        <w:ind w:left="480"/>
      </w:pPr>
      <w:r>
        <w:rPr>
          <w:rFonts w:ascii="Courier New" w:cs="Courier New" w:eastAsia="Courier New" w:hAnsi="Courier New"/>
          <w:sz w:val="18"/>
          <w:szCs w:val="18"/>
        </w:rPr>
        <w:t xml:space="preserve"># 步骤2: 数据预处理（生成训练集）</w:t>
      </w:r>
    </w:p>
    <w:p>
      <w:pPr>
        <w:spacing w:line="280" w:lineRule="exact"/>
        <w:ind w:left="480"/>
      </w:pPr>
      <w:r>
        <w:rPr>
          <w:rFonts w:ascii="Courier New" w:cs="Courier New" w:eastAsia="Courier New" w:hAnsi="Courier New"/>
          <w:sz w:val="18"/>
          <w:szCs w:val="18"/>
        </w:rPr>
        <w:t xml:space="preserve">python data_process.py</w:t>
      </w:r>
    </w:p>
    <w:p>
      <w:pPr>
        <w:spacing w:line="280" w:lineRule="exact"/>
        <w:ind w:left="480"/>
      </w:pPr>
      <w:r>
        <w:rPr>
          <w:rFonts w:ascii="Courier New" w:cs="Courier New" w:eastAsia="Courier New" w:hAnsi="Courier New"/>
          <w:sz w:val="18"/>
          <w:szCs w:val="18"/>
        </w:rPr>
        <w:t xml:space="preserve"># 步骤3: 训练CNN-LSTM-Attention模型</w:t>
      </w:r>
    </w:p>
    <w:p>
      <w:pPr>
        <w:spacing w:line="280" w:lineRule="exact"/>
        <w:ind w:left="480"/>
      </w:pPr>
      <w:r>
        <w:rPr>
          <w:rFonts w:ascii="Courier New" w:cs="Courier New" w:eastAsia="Courier New" w:hAnsi="Courier New"/>
          <w:sz w:val="18"/>
          <w:szCs w:val="18"/>
        </w:rPr>
        <w:t xml:space="preserve">python train.py</w:t>
      </w:r>
    </w:p>
    <w:p>
      <w:pPr>
        <w:spacing w:line="280" w:lineRule="exact"/>
        <w:ind w:left="480"/>
      </w:pPr>
      <w:r>
        <w:rPr>
          <w:rFonts w:ascii="Courier New" w:cs="Courier New" w:eastAsia="Courier New" w:hAnsi="Courier New"/>
          <w:sz w:val="18"/>
          <w:szCs w:val="18"/>
        </w:rPr>
        <w:t xml:space="preserve"># 步骤4: 启动交互式风险预测Web界面</w:t>
      </w:r>
    </w:p>
    <w:p>
      <w:pPr>
        <w:spacing w:line="280" w:lineRule="exact"/>
        <w:ind w:left="480"/>
      </w:pPr>
      <w:r>
        <w:rPr>
          <w:rFonts w:ascii="Courier New" w:cs="Courier New" w:eastAsia="Courier New" w:hAnsi="Courier New"/>
          <w:sz w:val="18"/>
          <w:szCs w:val="18"/>
        </w:rPr>
        <w:t xml:space="preserve">streamlit run app.py</w:t>
      </w:r>
    </w:p>
    <w:p>
      <w:r>
        <w:br w:type="page"/>
      </w:r>
    </w:p>
    <w:p>
      <w:pPr>
        <w:spacing w:after="360" w:before="360" w:line="400" w:lineRule="exact"/>
        <w:jc w:val="center"/>
      </w:pPr>
      <w:r>
        <w:rPr>
          <w:rFonts w:ascii="黑体" w:cs="黑体" w:eastAsia="黑体" w:hAnsi="黑体"/>
          <w:b/>
          <w:bCs/>
          <w:sz w:val="30"/>
          <w:szCs w:val="30"/>
        </w:rPr>
        <w:t xml:space="preserve">致  谢</w:t>
      </w:r>
    </w:p>
    <w:p>
      <w:pPr>
        <w:spacing w:after="0" w:before="0" w:line="400" w:lineRule="exact"/>
        <w:ind w:firstLine="480"/>
        <w:jc w:val="both"/>
      </w:pPr>
      <w:r>
        <w:rPr>
          <w:rFonts w:ascii="宋体" w:cs="宋体" w:eastAsia="宋体" w:hAnsi="宋体"/>
          <w:b w:val="false"/>
          <w:bCs w:val="false"/>
          <w:i w:val="false"/>
          <w:iCs w:val="false"/>
          <w:sz w:val="24"/>
          <w:szCs w:val="24"/>
        </w:rPr>
        <w:t xml:space="preserve">时光荏苒，大学四年的学习生活即将画上圆满的句号。回顾这段学习历程，从选题立项到方案设计，从代码实现到论文撰写，每一个阶段都凝聚着老师、同学和家人的帮助与支持。在毕业论文完成之际，谨向所有给予我帮助的人致以最诚挚的感谢。</w:t>
      </w:r>
    </w:p>
    <w:p>
      <w:pPr>
        <w:spacing w:after="0" w:before="0" w:line="400" w:lineRule="exact"/>
        <w:ind w:firstLine="480"/>
        <w:jc w:val="both"/>
      </w:pPr>
      <w:r>
        <w:rPr>
          <w:rFonts w:ascii="宋体" w:cs="宋体" w:eastAsia="宋体" w:hAnsi="宋体"/>
          <w:b w:val="false"/>
          <w:bCs w:val="false"/>
          <w:i w:val="false"/>
          <w:iCs w:val="false"/>
          <w:sz w:val="24"/>
          <w:szCs w:val="24"/>
        </w:rPr>
        <w:t xml:space="preserve">首先，我要特别感谢我的指导老师。从论文选题的方向把握，到研究方案的反复讨论，从代码实现中遇到的技术难题，到论文写作中的措辞斟酌，每一步都离不开老师耐心细致的指导。老师严谨求实的治学态度、对学生高度负责的精神以及宽厚包容的处世风范，在整个研究过程中给予了我极大的激励与启发，使我受益匪浅、铭记于心。</w:t>
      </w:r>
    </w:p>
    <w:p>
      <w:pPr>
        <w:spacing w:after="0" w:before="0" w:line="400" w:lineRule="exact"/>
        <w:ind w:firstLine="480"/>
        <w:jc w:val="both"/>
      </w:pPr>
      <w:r>
        <w:rPr>
          <w:rFonts w:ascii="宋体" w:cs="宋体" w:eastAsia="宋体" w:hAnsi="宋体"/>
          <w:b w:val="false"/>
          <w:bCs w:val="false"/>
          <w:i w:val="false"/>
          <w:iCs w:val="false"/>
          <w:sz w:val="24"/>
          <w:szCs w:val="24"/>
        </w:rPr>
        <w:t xml:space="preserve">其次，感谢学院各位任课教师四年来在专业知识、学习方法和思维方式上的悉心教导，为本次毕业设计打下了扎实的理论基础。感谢图书馆的工作人员为查阅文献资料提供的热情帮助。感谢同学们在日常学习和论文写作期间的交流讨论与相互鼓励，大家共同进步的氛围让这段岁月倍加珍贵。</w:t>
      </w:r>
    </w:p>
    <w:p>
      <w:pPr>
        <w:spacing w:after="0" w:before="0" w:line="400" w:lineRule="exact"/>
        <w:ind w:firstLine="480"/>
        <w:jc w:val="both"/>
      </w:pPr>
      <w:r>
        <w:rPr>
          <w:rFonts w:ascii="宋体" w:cs="宋体" w:eastAsia="宋体" w:hAnsi="宋体"/>
          <w:b w:val="false"/>
          <w:bCs w:val="false"/>
          <w:i w:val="false"/>
          <w:iCs w:val="false"/>
          <w:sz w:val="24"/>
          <w:szCs w:val="24"/>
        </w:rPr>
        <w:t xml:space="preserve">最后，要特别感谢我的父母和家人。四年来，他们默默承担着生活的压力，始终给予我无条件的理解、支持与鼓励。正是他们的信任与期望，成为我面对困难时坚持下去的最大动力。</w:t>
      </w:r>
    </w:p>
    <w:p>
      <w:pPr>
        <w:spacing w:after="0" w:before="0" w:line="400" w:lineRule="exact"/>
        <w:ind w:firstLine="480"/>
        <w:jc w:val="both"/>
      </w:pPr>
      <w:r>
        <w:rPr>
          <w:rFonts w:ascii="宋体" w:cs="宋体" w:eastAsia="宋体" w:hAnsi="宋体"/>
          <w:b w:val="false"/>
          <w:bCs w:val="false"/>
          <w:i w:val="false"/>
          <w:iCs w:val="false"/>
          <w:sz w:val="24"/>
          <w:szCs w:val="24"/>
        </w:rPr>
        <w:t xml:space="preserve">由于本人水平有限，论文中难免存在疏漏和不足之处，恳请各位老师批评指正。</w:t>
      </w:r>
    </w:p>
    <w:sectPr>
      <w:footerReference w:type="default" r:id="rId7"/>
      <w:pgSz w:w="11906" w:h="16838" w:orient="portrait"/>
      <w:pgMar w:top="1440" w:right="124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87774edeae3e327bf635aab8ec664eff7206a9f.png"/><Relationship Id="rId12" Type="http://schemas.openxmlformats.org/officeDocument/2006/relationships/image" Target="media/e08bfdd4e3be179f7504d737abd1897736901ffe.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creator>西安财经大学</dc:creator>
  <cp:lastModifiedBy>Un-named</cp:lastModifiedBy>
  <cp:revision>1</cp:revision>
  <dcterms:created xsi:type="dcterms:W3CDTF">2026-04-26T15:43:10.690Z</dcterms:created>
  <dcterms:modified xsi:type="dcterms:W3CDTF">2026-04-26T15:43:10.690Z</dcterms:modified>
</cp:coreProperties>
</file>

<file path=docProps/custom.xml><?xml version="1.0" encoding="utf-8"?>
<Properties xmlns="http://schemas.openxmlformats.org/officeDocument/2006/custom-properties" xmlns:vt="http://schemas.openxmlformats.org/officeDocument/2006/docPropsVTypes"/>
</file>