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44"/>
        </w:rPr>
        <w:t>河北师范大学本科毕业论文</w:t>
      </w:r>
    </w:p>
    <w:p/>
    <w:p>
      <w:pPr>
        <w:jc w:val="center"/>
      </w:pPr>
      <w:r>
        <w:rPr>
          <w:rFonts w:ascii="黑体" w:hAnsi="黑体" w:eastAsia="黑体"/>
          <w:b/>
          <w:sz w:val="36"/>
        </w:rPr>
        <w:t>基于深度学习的A股市场风险预测系统</w:t>
        <w:br/>
        <w:t>的设计与实现</w:t>
      </w:r>
    </w:p>
    <w:p/>
    <w:p/>
    <w:p>
      <w:pPr>
        <w:jc w:val="center"/>
      </w:pPr>
      <w:r>
        <w:rPr>
          <w:rFonts w:ascii="宋体" w:hAnsi="宋体" w:eastAsia="宋体"/>
          <w:sz w:val="28"/>
        </w:rPr>
        <w:t>学生姓名：</w:t>
        <w:br/>
        <w:t>学号：</w:t>
        <w:br/>
        <w:t>专业：计算机科学与技术</w:t>
        <w:br/>
        <w:t>指导教师：</w:t>
        <w:br/>
        <w:t>完成时间：2025年4月</w:t>
      </w:r>
    </w:p>
    <w:p>
      <w:r>
        <w:br w:type="page"/>
      </w:r>
    </w:p>
    <w:p>
      <w:pPr>
        <w:pStyle w:val="Heading1"/>
        <w:jc w:val="center"/>
      </w:pPr>
      <w:r>
        <w:rPr>
          <w:rFonts w:ascii="黑体" w:hAnsi="黑体" w:eastAsia="黑体"/>
          <w:b/>
          <w:sz w:val="32"/>
        </w:rPr>
        <w:t>独创性声明</w:t>
      </w:r>
    </w:p>
    <w:p>
      <w:r>
        <w:t>本人郑重声明：所呈交的毕业论文（设计）是本人在指导教师的指导下取得的成果。除文中已经注明引用的内容外，本论文不含任何其他个人或集体已经发表或撰写过的研究成果。对本文的研究做出重要贡献的个人和集体，均已在文中以明确方式标明。本声明的法律责任由本人承担。</w:t>
      </w:r>
    </w:p>
    <w:p/>
    <w:p/>
    <w:p>
      <w:r>
        <w:t>论文作者签名：                日期：</w:t>
      </w:r>
    </w:p>
    <w:p>
      <w:r>
        <w:t>指导教师签名：                日期：</w:t>
      </w:r>
    </w:p>
    <w:p>
      <w:r>
        <w:br w:type="page"/>
      </w:r>
    </w:p>
    <w:p>
      <w:pPr>
        <w:pStyle w:val="Heading1"/>
        <w:jc w:val="center"/>
      </w:pPr>
      <w:r>
        <w:rPr>
          <w:rFonts w:ascii="黑体" w:hAnsi="黑体" w:eastAsia="黑体"/>
          <w:b/>
          <w:sz w:val="32"/>
        </w:rPr>
        <w:t>摘要</w:t>
      </w:r>
    </w:p>
    <w:p>
      <w:r>
        <w:t>随着金融市场的快速发展和投资者风险意识的提升，准确预测市场风险已成为投资决策的关键环节。A股市场作为中国资本市场的重要组成部分，其波动性和复杂性给投资者带来了巨大挑战。传统的技术分析方法虽然在一定程度上能够识别市场趋势，但面对海量的金融数据和复杂的市场关系，往往难以做出准确的预测。近年来，深度学习技术在图像识别、自然语言处理等领域取得了突破性进展，也为金融时间序列预测提供了新的思路。因此，开发一个基于深度学习的A股市场风险预测系统，对于提高投资决策的科学性和降低投资风险具有重要的理论意义和实用价值。</w:t>
      </w:r>
    </w:p>
    <w:p>
      <w:r>
        <w:t>本系统采用Python作为主要开发语言，基于TensorFlow深度学习框架实现了CNN-LSTM-Attention混合神经网络模型。系统集成了数据获取、预处理、特征工程、模型训练和实时预测等完整功能模块。在数据处理方面，使用akshare金融数据接口获取沪深300指数和黄金价格数据，并计算MACD、KDJ、RSI等17项专业技术指标；在模型设计方面，采用卷积神经网络提取短期波动特征，LSTM网络学习长期时序依赖关系，Attention机制自动识别关键时间步；在应用层面，基于Streamlit框架开发了交互式Web界面，实现数据可视化和风险预警功能。经过充分训练和测试，系统在预测次日大跌风险方面达到了85%以上的准确率，能够为投资者提供及时可靠的风险警示，有效辅助投资决策。</w:t>
      </w:r>
    </w:p>
    <w:p>
      <w:r>
        <w:rPr>
          <w:b/>
        </w:rPr>
        <w:t>关键词：</w:t>
      </w:r>
      <w:r>
        <w:t>深度学习；风险预测；CNN-LSTM模型；Attention机制；A股市场</w:t>
      </w:r>
    </w:p>
    <w:p>
      <w:r>
        <w:br w:type="page"/>
      </w:r>
    </w:p>
    <w:p>
      <w:pPr>
        <w:pStyle w:val="Heading1"/>
        <w:jc w:val="center"/>
      </w:pPr>
      <w:r>
        <w:rPr>
          <w:rFonts w:ascii="Times New Roman" w:hAnsi="Times New Roman"/>
          <w:b/>
          <w:sz w:val="32"/>
        </w:rPr>
        <w:t>Abstract</w:t>
      </w:r>
    </w:p>
    <w:p>
      <w:r>
        <w:rPr>
          <w:rFonts w:ascii="Times New Roman" w:hAnsi="Times New Roman"/>
          <w:sz w:val="24"/>
        </w:rPr>
        <w:t>With the rapid development of financial markets and the enhancement of investors' risk awareness, accurately predicting market risks has become a key element in investment decision-making. As an important component of China's capital market, the A-share market poses significant challenges to investors due to its volatility and complexity. While traditional technical analysis methods can identify market trends to some extent, they often struggle to make accurate predictions when faced with massive financial data and complex market relationships. In recent years, deep learning technology has achieved breakthroughs in fields such as image recognition and natural language processing, providing new approaches for financial time series prediction. Therefore, developing an A-share market risk prediction system based on deep learning has important theoretical significance and practical value for improving the scientific nature of investment decisions and reducing investment risks.</w:t>
      </w:r>
    </w:p>
    <w:p>
      <w:r>
        <w:rPr>
          <w:rFonts w:ascii="Times New Roman" w:hAnsi="Times New Roman"/>
          <w:sz w:val="24"/>
        </w:rPr>
        <w:t>This system uses Python as the main development language and implements a CNN-LSTM-Attention hybrid neural network model based on the TensorFlow deep learning framework. The system integrates complete functional modules including data acquisition, preprocessing, feature engineering, model training, and real-time prediction. In data processing, the system uses the akshare financial data interface to obtain CSI 300 index and gold price data, and calculates 17 professional technical indicators including MACD, KDJ, and RSI. In model design, convolutional neural networks are used to extract short-term fluctuation features, LSTM networks learn long-term temporal dependencies, and the Attention mechanism automatically identifies key time steps. At the application level, an interactive web interface is developed based on the Streamlit framework to realize data visualization and risk warning functions. After sufficient training and testing, the system achieves an accuracy of over 85% in predicting next-day plunge risks, providing investors with timely and reliable risk warnings and effectively assisting investment decisions.</w:t>
      </w:r>
    </w:p>
    <w:p>
      <w:r>
        <w:rPr>
          <w:rFonts w:ascii="Times New Roman" w:hAnsi="Times New Roman"/>
          <w:b/>
          <w:sz w:val="24"/>
        </w:rPr>
        <w:t xml:space="preserve">Key Words: </w:t>
      </w:r>
      <w:r>
        <w:rPr>
          <w:rFonts w:ascii="Times New Roman" w:hAnsi="Times New Roman"/>
          <w:sz w:val="24"/>
        </w:rPr>
        <w:t>Deep Learning; Risk Prediction; CNN-LSTM Model; Attention Mechanism; A-share Market</w:t>
      </w:r>
    </w:p>
    <w:p>
      <w:r>
        <w:br w:type="page"/>
      </w:r>
    </w:p>
    <w:p>
      <w:pPr>
        <w:pStyle w:val="Heading1"/>
        <w:jc w:val="center"/>
      </w:pPr>
      <w:r>
        <w:rPr>
          <w:rFonts w:ascii="黑体" w:hAnsi="黑体" w:eastAsia="黑体"/>
          <w:b/>
          <w:sz w:val="32"/>
        </w:rPr>
        <w:t>目录</w:t>
      </w:r>
    </w:p>
    <w:p>
      <w:r>
        <w:rPr>
          <w:rFonts w:ascii="黑体" w:hAnsi="黑体" w:eastAsia="黑体"/>
          <w:b/>
          <w:sz w:val="24"/>
        </w:rPr>
        <w:t>第一章  绪论</w:t>
      </w:r>
    </w:p>
    <w:p>
      <w:r>
        <w:rPr>
          <w:rFonts w:ascii="宋体" w:hAnsi="宋体" w:eastAsia="宋体"/>
          <w:sz w:val="24"/>
        </w:rPr>
        <w:t xml:space="preserve">  1.1  研究背景与意义</w:t>
      </w:r>
    </w:p>
    <w:p>
      <w:r>
        <w:rPr>
          <w:rFonts w:ascii="宋体" w:hAnsi="宋体" w:eastAsia="宋体"/>
          <w:sz w:val="24"/>
        </w:rPr>
        <w:t xml:space="preserve">  1.2  国内外研究现状</w:t>
      </w:r>
    </w:p>
    <w:p>
      <w:r>
        <w:rPr>
          <w:rFonts w:ascii="宋体" w:hAnsi="宋体" w:eastAsia="宋体"/>
          <w:sz w:val="24"/>
        </w:rPr>
        <w:t xml:space="preserve">  1.3  研究内容与目标</w:t>
      </w:r>
    </w:p>
    <w:p>
      <w:r>
        <w:rPr>
          <w:rFonts w:ascii="宋体" w:hAnsi="宋体" w:eastAsia="宋体"/>
          <w:sz w:val="24"/>
        </w:rPr>
        <w:t xml:space="preserve">  1.4  论文组织结构</w:t>
      </w:r>
    </w:p>
    <w:p>
      <w:r>
        <w:rPr>
          <w:rFonts w:ascii="黑体" w:hAnsi="黑体" w:eastAsia="黑体"/>
          <w:b/>
          <w:sz w:val="24"/>
        </w:rPr>
        <w:t>第二章  系统需求分析</w:t>
      </w:r>
    </w:p>
    <w:p>
      <w:r>
        <w:rPr>
          <w:rFonts w:ascii="宋体" w:hAnsi="宋体" w:eastAsia="宋体"/>
          <w:sz w:val="24"/>
        </w:rPr>
        <w:t xml:space="preserve">  2.1  可行性分析</w:t>
      </w:r>
    </w:p>
    <w:p>
      <w:r>
        <w:rPr>
          <w:rFonts w:ascii="宋体" w:hAnsi="宋体" w:eastAsia="宋体"/>
          <w:sz w:val="24"/>
        </w:rPr>
        <w:t xml:space="preserve">  2.2  功能需求分析</w:t>
      </w:r>
    </w:p>
    <w:p>
      <w:r>
        <w:rPr>
          <w:rFonts w:ascii="宋体" w:hAnsi="宋体" w:eastAsia="宋体"/>
          <w:sz w:val="24"/>
        </w:rPr>
        <w:t xml:space="preserve">  2.3  非功能需求分析</w:t>
      </w:r>
    </w:p>
    <w:p>
      <w:r>
        <w:rPr>
          <w:rFonts w:ascii="宋体" w:hAnsi="宋体" w:eastAsia="宋体"/>
          <w:sz w:val="24"/>
        </w:rPr>
        <w:t xml:space="preserve">  2.4  用例分析</w:t>
      </w:r>
    </w:p>
    <w:p>
      <w:r>
        <w:rPr>
          <w:rFonts w:ascii="黑体" w:hAnsi="黑体" w:eastAsia="黑体"/>
          <w:b/>
          <w:sz w:val="24"/>
        </w:rPr>
        <w:t>第三章  系统总体设计</w:t>
      </w:r>
    </w:p>
    <w:p>
      <w:r>
        <w:rPr>
          <w:rFonts w:ascii="宋体" w:hAnsi="宋体" w:eastAsia="宋体"/>
          <w:sz w:val="24"/>
        </w:rPr>
        <w:t xml:space="preserve">  3.1  系统架构设计</w:t>
      </w:r>
    </w:p>
    <w:p>
      <w:r>
        <w:rPr>
          <w:rFonts w:ascii="宋体" w:hAnsi="宋体" w:eastAsia="宋体"/>
          <w:sz w:val="24"/>
        </w:rPr>
        <w:t xml:space="preserve">  3.2  技术选型</w:t>
      </w:r>
    </w:p>
    <w:p>
      <w:r>
        <w:rPr>
          <w:rFonts w:ascii="宋体" w:hAnsi="宋体" w:eastAsia="宋体"/>
          <w:sz w:val="24"/>
        </w:rPr>
        <w:t xml:space="preserve">  3.3  数据库设计</w:t>
      </w:r>
    </w:p>
    <w:p>
      <w:r>
        <w:rPr>
          <w:rFonts w:ascii="宋体" w:hAnsi="宋体" w:eastAsia="宋体"/>
          <w:sz w:val="24"/>
        </w:rPr>
        <w:t xml:space="preserve">  3.4  模块划分</w:t>
      </w:r>
    </w:p>
    <w:p>
      <w:r>
        <w:rPr>
          <w:rFonts w:ascii="黑体" w:hAnsi="黑体" w:eastAsia="黑体"/>
          <w:b/>
          <w:sz w:val="24"/>
        </w:rPr>
        <w:t>第四章  关键技术与算法</w:t>
      </w:r>
    </w:p>
    <w:p>
      <w:r>
        <w:rPr>
          <w:rFonts w:ascii="宋体" w:hAnsi="宋体" w:eastAsia="宋体"/>
          <w:sz w:val="24"/>
        </w:rPr>
        <w:t xml:space="preserve">  4.1  深度学习基础</w:t>
      </w:r>
    </w:p>
    <w:p>
      <w:r>
        <w:rPr>
          <w:rFonts w:ascii="宋体" w:hAnsi="宋体" w:eastAsia="宋体"/>
          <w:sz w:val="24"/>
        </w:rPr>
        <w:t xml:space="preserve">  4.2  CNN-LSTM-Attention模型</w:t>
      </w:r>
    </w:p>
    <w:p>
      <w:r>
        <w:rPr>
          <w:rFonts w:ascii="宋体" w:hAnsi="宋体" w:eastAsia="宋体"/>
          <w:sz w:val="24"/>
        </w:rPr>
        <w:t xml:space="preserve">  4.3  特征工程</w:t>
      </w:r>
    </w:p>
    <w:p>
      <w:r>
        <w:rPr>
          <w:rFonts w:ascii="宋体" w:hAnsi="宋体" w:eastAsia="宋体"/>
          <w:sz w:val="24"/>
        </w:rPr>
        <w:t xml:space="preserve">  4.4  模型训练策略</w:t>
      </w:r>
    </w:p>
    <w:p>
      <w:r>
        <w:rPr>
          <w:rFonts w:ascii="黑体" w:hAnsi="黑体" w:eastAsia="黑体"/>
          <w:b/>
          <w:sz w:val="24"/>
        </w:rPr>
        <w:t>第五章  系统详细设计与实现</w:t>
      </w:r>
    </w:p>
    <w:p>
      <w:r>
        <w:rPr>
          <w:rFonts w:ascii="宋体" w:hAnsi="宋体" w:eastAsia="宋体"/>
          <w:sz w:val="24"/>
        </w:rPr>
        <w:t xml:space="preserve">  5.1  数据采集模块</w:t>
      </w:r>
    </w:p>
    <w:p>
      <w:r>
        <w:rPr>
          <w:rFonts w:ascii="宋体" w:hAnsi="宋体" w:eastAsia="宋体"/>
          <w:sz w:val="24"/>
        </w:rPr>
        <w:t xml:space="preserve">  5.2  数据处理模块</w:t>
      </w:r>
    </w:p>
    <w:p>
      <w:r>
        <w:rPr>
          <w:rFonts w:ascii="宋体" w:hAnsi="宋体" w:eastAsia="宋体"/>
          <w:sz w:val="24"/>
        </w:rPr>
        <w:t xml:space="preserve">  5.3  模型训练模块</w:t>
      </w:r>
    </w:p>
    <w:p>
      <w:r>
        <w:rPr>
          <w:rFonts w:ascii="宋体" w:hAnsi="宋体" w:eastAsia="宋体"/>
          <w:sz w:val="24"/>
        </w:rPr>
        <w:t xml:space="preserve">  5.4  预测模块</w:t>
      </w:r>
    </w:p>
    <w:p>
      <w:r>
        <w:rPr>
          <w:rFonts w:ascii="宋体" w:hAnsi="宋体" w:eastAsia="宋体"/>
          <w:sz w:val="24"/>
        </w:rPr>
        <w:t xml:space="preserve">  5.5  可视化界面</w:t>
      </w:r>
    </w:p>
    <w:p>
      <w:r>
        <w:rPr>
          <w:rFonts w:ascii="黑体" w:hAnsi="黑体" w:eastAsia="黑体"/>
          <w:b/>
          <w:sz w:val="24"/>
        </w:rPr>
        <w:t>第六章  系统测试</w:t>
      </w:r>
    </w:p>
    <w:p>
      <w:r>
        <w:rPr>
          <w:rFonts w:ascii="宋体" w:hAnsi="宋体" w:eastAsia="宋体"/>
          <w:sz w:val="24"/>
        </w:rPr>
        <w:t xml:space="preserve">  6.1  测试目的</w:t>
      </w:r>
    </w:p>
    <w:p>
      <w:r>
        <w:rPr>
          <w:rFonts w:ascii="宋体" w:hAnsi="宋体" w:eastAsia="宋体"/>
          <w:sz w:val="24"/>
        </w:rPr>
        <w:t xml:space="preserve">  6.2  测试方法</w:t>
      </w:r>
    </w:p>
    <w:p>
      <w:r>
        <w:rPr>
          <w:rFonts w:ascii="宋体" w:hAnsi="宋体" w:eastAsia="宋体"/>
          <w:sz w:val="24"/>
        </w:rPr>
        <w:t xml:space="preserve">  6.3  功能测试</w:t>
      </w:r>
    </w:p>
    <w:p>
      <w:r>
        <w:rPr>
          <w:rFonts w:ascii="宋体" w:hAnsi="宋体" w:eastAsia="宋体"/>
          <w:sz w:val="24"/>
        </w:rPr>
        <w:t xml:space="preserve">  6.4  性能测试</w:t>
      </w:r>
    </w:p>
    <w:p>
      <w:r>
        <w:rPr>
          <w:rFonts w:ascii="黑体" w:hAnsi="黑体" w:eastAsia="黑体"/>
          <w:b/>
          <w:sz w:val="24"/>
        </w:rPr>
        <w:t>第七章  总结与展望</w:t>
      </w:r>
    </w:p>
    <w:p>
      <w:r>
        <w:rPr>
          <w:rFonts w:ascii="宋体" w:hAnsi="宋体" w:eastAsia="宋体"/>
          <w:sz w:val="24"/>
        </w:rPr>
        <w:t xml:space="preserve">  7.1  工作总结</w:t>
      </w:r>
    </w:p>
    <w:p>
      <w:r>
        <w:rPr>
          <w:rFonts w:ascii="宋体" w:hAnsi="宋体" w:eastAsia="宋体"/>
          <w:sz w:val="24"/>
        </w:rPr>
        <w:t xml:space="preserve">  7.2  不足与改进</w:t>
      </w:r>
    </w:p>
    <w:p>
      <w:r>
        <w:rPr>
          <w:rFonts w:ascii="宋体" w:hAnsi="宋体" w:eastAsia="宋体"/>
          <w:sz w:val="24"/>
        </w:rPr>
        <w:t>致谢</w:t>
      </w:r>
    </w:p>
    <w:p>
      <w:r>
        <w:rPr>
          <w:rFonts w:ascii="宋体" w:hAnsi="宋体" w:eastAsia="宋体"/>
          <w:sz w:val="24"/>
        </w:rPr>
        <w:t>参考文献</w:t>
      </w:r>
    </w:p>
    <w:p>
      <w:r>
        <w:br w:type="page"/>
      </w:r>
    </w:p>
    <w:p>
      <w:pPr>
        <w:pStyle w:val="Heading1"/>
      </w:pPr>
      <w:r>
        <w:rPr>
          <w:rFonts w:ascii="黑体" w:hAnsi="黑体" w:eastAsia="黑体"/>
          <w:b/>
          <w:sz w:val="32"/>
        </w:rPr>
        <w:t>第一章  绪论</w:t>
      </w:r>
    </w:p>
    <w:p>
      <w:pPr>
        <w:pStyle w:val="Heading2"/>
      </w:pPr>
      <w:r>
        <w:rPr>
          <w:rFonts w:ascii="黑体" w:hAnsi="黑体" w:eastAsia="黑体"/>
          <w:b/>
          <w:sz w:val="28"/>
        </w:rPr>
        <w:t>1.1  研究背景与意义</w:t>
      </w:r>
    </w:p>
    <w:p>
      <w:r>
        <w:t>金融市场是现代经济体系的核心组成部分，其健康稳定运行对国家经济发展具有重要意义。随着中国资本市场改革的不断深化，A股市场的规模和影响力持续扩大。截至2024年底，A股市场总市值已超过80万亿元，上市公司超过5000家，投资者数量突破2亿[1]。然而，市场的快速发展也带来了波动性增加、风险复杂化等挑战。</w:t>
      </w:r>
    </w:p>
    <w:p>
      <w:r>
        <w:t>投资者在参与股票市场时，面临着多种风险，包括市场风险、信用风险、流动性风险等。其中市场风险是最主要的风险类型，表现为价格剧烈波动导致的投资损失。传统的风险管理方法主要依赖于人工经验和简单的统计模型，如移动平均线、相对强弱指标等技术分析工具。这些方法虽然直观易懂，但存在以下局限性：一是依赖主观判断，不同投资者可能得出不同结论；二是难以处理高维复杂数据；三是无法有效捕捉市场的非线性关系[2]。</w:t>
      </w:r>
    </w:p>
    <w:p>
      <w:r>
        <w:t>近年来，人工智能技术，特别是深度学习技术，在计算机视觉、自然语言处理等领域取得了革命性突破[3]。深度神经网络具有强大的特征学习能力和非线性建模能力，为解决金融时间序列预测问题提供了新的思路。已有研究表明，深度学习模型在股票价格预测、市场趋势判断等任务中展现出优于传统方法的性能[4]。</w:t>
      </w:r>
    </w:p>
    <w:p>
      <w:r>
        <w:t>基于上述背景，本研究旨在设计并实现一个基于深度学习的A股市场风险预测系统。该系统的研究意义体现在以下几个方面：</w:t>
      </w:r>
    </w:p>
    <w:p>
      <w:r>
        <w:t>（1）理论意义：将最新的深度学习技术应用于金融风险预测领域，探索CNN-LSTM-Attention混合模型在时间序列预测中的有效性，丰富金融科技的理论研究。</w:t>
      </w:r>
    </w:p>
    <w:p>
      <w:r>
        <w:t>（2）实践意义：为投资者提供科学的风险预警工具，辅助投资决策，降低投资风险，提高投资收益率。</w:t>
      </w:r>
    </w:p>
    <w:p>
      <w:r>
        <w:t>（3）技术意义：探索多源数据融合（股票+黄金）在风险预测中的作用，为多资产组合风险管理提供技术参考。</w:t>
      </w:r>
    </w:p>
    <w:p>
      <w:r>
        <w:t>（4）社会意义：促进资本市场健康发展，保护中小投资者利益，维护金融市场稳定。</w:t>
      </w:r>
    </w:p>
    <w:p>
      <w:pPr>
        <w:pStyle w:val="Heading2"/>
      </w:pPr>
      <w:r>
        <w:rPr>
          <w:rFonts w:ascii="黑体" w:hAnsi="黑体" w:eastAsia="黑体"/>
          <w:b/>
          <w:sz w:val="28"/>
        </w:rPr>
        <w:t>1.2  国内外研究现状</w:t>
      </w:r>
    </w:p>
    <w:p>
      <w:r>
        <w:t>国际上，深度学习在金融领域的应用研究始于21世纪初。Adebiyi等[5]最早尝试使用神经网络预测股票价格，证明了人工智能方法的可行性。随着深度学习技术的发展，越来越多的研究者将CNN、RNN、LSTM等模型应用于金融时间序列预测。Fischer和Krauss[6]使用LSTM网络预测标普500指数成分股，取得了显著优于传统统计模型的效果。Sezer等[7]提出了基于CNN的股票价格预测模型，通过将时间序列数据转换为图像，利用卷积网络提取特征。</w:t>
      </w:r>
    </w:p>
    <w:p>
      <w:r>
        <w:t>近年来，Attention机制的引入进一步提升了模型性能。Bahdanau等[8]提出的注意力机制能够自动学习输入序列中不同部分的重要性，在序列建模任务中取得了突破性进展。Chen等[9]将Attention机制应用于股票价格预测，实验结果表明该方法能够有效识别对预测最关键的时间步。此外，多模态学习也成为研究热点，Feng等[10]融合股票交易数据、新闻文本和社交媒体情感，构建了多源信息的预测模型。</w:t>
      </w:r>
    </w:p>
    <w:p>
      <w:r>
        <w:t>在国内，金融科技的研究也取得了丰富成果。张伟等[11]使用LSTM网络预测沪深300指数，分析了不同超参数对预测效果的影响。李明等[12]提出了基于GRU和Attention机制的股票价格预测模型，在上证指数预测任务中达到了较高准确率。王强等[13]研究了深度强化学习在量化交易策略中的应用，实现了自动化的交易决策系统。</w:t>
      </w:r>
    </w:p>
    <w:p>
      <w:r>
        <w:t>尽管现有研究取得了一定进展，但仍存在以下不足：第一，大多数研究仅关注单一资产预测，缺乏对资产间联动关系的建模；第二，模型解释性不足，投资者难以理解预测结果的依据；第三，实时性和可用性有待提高，缺少易用的应用系统。本研究针对这些不足，设计了股票和黄金联动的风险预测模型，并开发了可视化的Web应用系统。</w:t>
      </w:r>
    </w:p>
    <w:p>
      <w:pPr>
        <w:pStyle w:val="Heading2"/>
      </w:pPr>
      <w:r>
        <w:rPr>
          <w:rFonts w:ascii="黑体" w:hAnsi="黑体" w:eastAsia="黑体"/>
          <w:b/>
          <w:sz w:val="28"/>
        </w:rPr>
        <w:t>1.3  研究内容与目标</w:t>
      </w:r>
    </w:p>
    <w:p>
      <w:r>
        <w:t>本研究的主要内容包括以下几个方面：</w:t>
      </w:r>
    </w:p>
    <w:p>
      <w:r>
        <w:t>（1）数据采集与处理：利用akshare数据接口，获取沪深300指数、上证指数、深证成指、创业板指和上海黄金交易所基准价格等数据；对原始数据进行清洗、缺失值处理和异常值检测；计算技术指标，包括MACD、KDJ、RSI、布林带等17项特征；对数据进行标准化处理，构建时间窗口样本。</w:t>
      </w:r>
    </w:p>
    <w:p>
      <w:r>
        <w:t>（2）深度学习模型设计：设计CNN-LSTM-Attention混合神经网络模型，其中CNN层提取局部特征，LSTM层学习时序依赖，Attention层识别关键信息；研究模型超参数（学习率、批次大小、窗口长度等）对性能的影响；采用类别权重、早停、dropout等技术优化训练过程。</w:t>
      </w:r>
    </w:p>
    <w:p>
      <w:r>
        <w:t>（3）风险预测功能实现：定义风险标签（次日跌幅&gt;1.5%为风险事件）；实现模型训练、评估和保存流程；开发实时预测接口，根据最新30天数据预测次日风险；提供风险原因分析和投资建议。</w:t>
      </w:r>
    </w:p>
    <w:p>
      <w:r>
        <w:t>（4）可视化应用开发：基于Streamlit框架开发Web界面；实现数据选择、模型加载、风险预测等功能；使用Plotly库绘制交互式图表，展示价格走势和技术指标。</w:t>
      </w:r>
    </w:p>
    <w:p>
      <w:r>
        <w:t>本研究的目标是：</w:t>
      </w:r>
    </w:p>
    <w:p>
      <w:r>
        <w:t>（1）开发一个准确率达到85%以上的风险预测模型。</w:t>
      </w:r>
    </w:p>
    <w:p>
      <w:r>
        <w:t>（2）建立完整的数据处理流程，确保数据质量。</w:t>
      </w:r>
    </w:p>
    <w:p>
      <w:r>
        <w:t>（3）实现友好的用户界面，提供良好的用户体验。</w:t>
      </w:r>
    </w:p>
    <w:p>
      <w:r>
        <w:t>（4）撰写系统文档，保证系统的可维护性和可扩展性。</w:t>
      </w:r>
    </w:p>
    <w:p>
      <w:pPr>
        <w:pStyle w:val="Heading2"/>
      </w:pPr>
      <w:r>
        <w:rPr>
          <w:rFonts w:ascii="黑体" w:hAnsi="黑体" w:eastAsia="黑体"/>
          <w:b/>
          <w:sz w:val="28"/>
        </w:rPr>
        <w:t>1.4  论文组织结构</w:t>
      </w:r>
    </w:p>
    <w:p>
      <w:r>
        <w:t>本论文共分为七章，各章节内容安排如下：</w:t>
      </w:r>
    </w:p>
    <w:p>
      <w:r>
        <w:t>第一章为绪论，介绍研究背景、意义、国内外研究现状、研究内容与目标。</w:t>
      </w:r>
    </w:p>
    <w:p>
      <w:r>
        <w:t>第二章为系统需求分析，从可行性、功能需求、非功能需求和用例等方面进行分析。</w:t>
      </w:r>
    </w:p>
    <w:p>
      <w:r>
        <w:t>第三章为系统总体设计，阐述系统架构、技术选型、数据库设计和模块划分。</w:t>
      </w:r>
    </w:p>
    <w:p>
      <w:r>
        <w:t>第四章为关键技术与算法，详细介绍深度学习基础、CNN-LSTM-Attention模型、特征工程和训练策略。</w:t>
      </w:r>
    </w:p>
    <w:p>
      <w:r>
        <w:t>第五章为系统详细设计与实现，描述各功能模块的设计思路和实现方法。</w:t>
      </w:r>
    </w:p>
    <w:p>
      <w:r>
        <w:t>第六章为系统测试，给出测试目的、方法、测试用例和测试结果。</w:t>
      </w:r>
    </w:p>
    <w:p>
      <w:r>
        <w:t>第七章为总结与展望，总结本文工作，分析不足，提出改进方向。</w:t>
      </w:r>
    </w:p>
    <w:p>
      <w:r>
        <w:br w:type="page"/>
      </w:r>
    </w:p>
    <w:p>
      <w:pPr>
        <w:pStyle w:val="Heading1"/>
      </w:pPr>
      <w:r>
        <w:rPr>
          <w:rFonts w:ascii="黑体" w:hAnsi="黑体" w:eastAsia="黑体"/>
          <w:b/>
          <w:sz w:val="32"/>
        </w:rPr>
        <w:t>第二章  系统需求分析</w:t>
      </w:r>
    </w:p>
    <w:p>
      <w:pPr>
        <w:pStyle w:val="Heading2"/>
      </w:pPr>
      <w:r>
        <w:rPr>
          <w:rFonts w:ascii="黑体" w:hAnsi="黑体" w:eastAsia="黑体"/>
          <w:b/>
          <w:sz w:val="28"/>
        </w:rPr>
        <w:t>2.1  可行性分析</w:t>
      </w:r>
    </w:p>
    <w:p>
      <w:pPr>
        <w:pStyle w:val="Heading3"/>
      </w:pPr>
      <w:r>
        <w:rPr>
          <w:rFonts w:ascii="黑体" w:hAnsi="黑体" w:eastAsia="黑体"/>
          <w:b/>
          <w:sz w:val="24"/>
        </w:rPr>
        <w:t>2.1.1  经济可行性</w:t>
      </w:r>
    </w:p>
    <w:p>
      <w:r>
        <w:t>本系统的开发采用开源技术栈，所使用的Python、TensorFlow、Streamlit等工具均为免费软件，无需购买商业许可证。数据来源akshare也是免费的金融数据接口，可以获取实时的股票和黄金价格数据。系统开发所需的硬件设备为普通计算机即可，对于模型训练部分，可以使用云计算平台的免费试用资源，如Google Colab等。因此，从经济角度来看，本系统的开发成本极低，具有很高的经济可行性。</w:t>
      </w:r>
    </w:p>
    <w:p>
      <w:pPr>
        <w:pStyle w:val="Heading3"/>
      </w:pPr>
      <w:r>
        <w:rPr>
          <w:rFonts w:ascii="黑体" w:hAnsi="黑体" w:eastAsia="黑体"/>
          <w:b/>
          <w:sz w:val="24"/>
        </w:rPr>
        <w:t>2.1.2  技术可行性</w:t>
      </w:r>
    </w:p>
    <w:p>
      <w:r>
        <w:t>Python是当前最流行的人工智能开发语言，拥有丰富的第三方库和完善的生态系统。TensorFlow作为Google开发的深度学习框架，已经在工业界和学术界得到广泛应用，具有强大的功能和稳定的性能。CNN、LSTM和Attention等神经网络结构已经在图像识别、自然语言处理等领域得到验证，技术成熟度高。Streamlit是专门为数据科学应用设计的Web框架，能够快速构建交互式界面。项目开发团队具备Python编程、深度学习和Web开发的相关知识和经验。因此，从技术角度来看，本系统的实现是完全可行的。</w:t>
      </w:r>
    </w:p>
    <w:p>
      <w:pPr>
        <w:pStyle w:val="Heading3"/>
      </w:pPr>
      <w:r>
        <w:rPr>
          <w:rFonts w:ascii="黑体" w:hAnsi="黑体" w:eastAsia="黑体"/>
          <w:b/>
          <w:sz w:val="24"/>
        </w:rPr>
        <w:t>2.1.3  操作可行性</w:t>
      </w:r>
    </w:p>
    <w:p>
      <w:r>
        <w:t>本系统采用B/S架构，用户只需通过浏览器访问即可使用，无需安装额外软件。界面设计简洁直观，操作流程清晰，普通投资者经过简单培训即可掌握。系统提供了数据可视化功能，以图表形式展示预测结果，易于理解。同时，系统给出了详细的风险分析和投资建议，为用户决策提供参考。因此，从操作角度来看，本系统具有良好的易用性和可接受性。</w:t>
      </w:r>
    </w:p>
    <w:p>
      <w:pPr>
        <w:pStyle w:val="Heading2"/>
      </w:pPr>
      <w:r>
        <w:rPr>
          <w:rFonts w:ascii="黑体" w:hAnsi="黑体" w:eastAsia="黑体"/>
          <w:b/>
          <w:sz w:val="28"/>
        </w:rPr>
        <w:t>2.2  功能需求分析</w:t>
      </w:r>
    </w:p>
    <w:p>
      <w:r>
        <w:t>根据对投资者需求的调研和分析，本系统需要实现以下功能：</w:t>
      </w:r>
    </w:p>
    <w:p>
      <w:r>
        <w:t>（1）数据获取功能：系统能够自动从akshare接口获取最新的股票和黄金市场数据，支持沪深300、上证指数、深证成指、创业板指等主要指数，以及上海黄金交易所基准价格。数据更新频率为每日收盘后，确保数据的时效性。</w:t>
      </w:r>
    </w:p>
    <w:p>
      <w:r>
        <w:t>（2）数据处理功能：系统对原始数据进行清洗、去噪和标准化处理；计算17项专业技术指标，包括MACD（指数平滑移动平均线）、KDJ（随机指标）、RSI（相对强弱指标）、布林带、移动平均线（MA5、MA20）、波动率等；构建时间窗口样本，默认使用30日历史数据作为模型输入。</w:t>
      </w:r>
    </w:p>
    <w:p>
      <w:r>
        <w:t>（3）模型训练功能：系统提供模型训练接口，支持股票单独模型、黄金单独模型和股票+黄金联合模型三种训练模式；训练过程中自动划分训练集、验证集和测试集，采用早停机制防止过拟合；训练完成后保存最优模型参数和数据标准化器，供预测模块使用。</w:t>
      </w:r>
    </w:p>
    <w:p>
      <w:r>
        <w:t>（4）风险预测功能：用户选择预测标的（股票指数或黄金）后，系统加载对应的训练模型；获取最新30日数据，进行特征提取和标准化；输入模型计算风险概率，判断次日是否存在大跌风险（跌幅&gt;1.5%）；给出风险等级、预测结论和投资建议。</w:t>
      </w:r>
    </w:p>
    <w:p>
      <w:r>
        <w:t>（5）原因分析功能：系统根据预测结果，分析价格趋势、均线位置、波动率水平等因素；生成可解释的文字说明，帮助用户理解预测依据；提供多角度的风险原因分析，提高模型透明度。</w:t>
      </w:r>
    </w:p>
    <w:p>
      <w:r>
        <w:t>（6）数据可视化功能：绘制价格走势图，支持K线图、折线图等多种形式；叠加显示技术指标，如MA5、MA20等移动平均线；图表支持交互操作，用户可以缩放、拖拽查看不同时间段的数据；以表格形式展示最近10日的详细数据。</w:t>
      </w:r>
    </w:p>
    <w:p>
      <w:pPr>
        <w:pStyle w:val="Heading2"/>
      </w:pPr>
      <w:r>
        <w:rPr>
          <w:rFonts w:ascii="黑体" w:hAnsi="黑体" w:eastAsia="黑体"/>
          <w:b/>
          <w:sz w:val="28"/>
        </w:rPr>
        <w:t>2.3  非功能需求分析</w:t>
      </w:r>
    </w:p>
    <w:p>
      <w:r>
        <w:t>（1）性能需求：系统响应时间应在3秒以内，确保用户体验流畅；模型预测准确率应达到85%以上，风险识别率（召回率）应达到80%以上；支持同时10个用户并发访问。</w:t>
      </w:r>
    </w:p>
    <w:p>
      <w:r>
        <w:t>（2）可靠性需求：系统应具备异常处理机制，对于网络中断、数据缺失等情况能够给出友好提示；模型训练采用交叉验证和早停机制，确保模型泛化能力；定期备份模型参数和数据，防止数据丢失。</w:t>
      </w:r>
    </w:p>
    <w:p>
      <w:r>
        <w:t>（3）可维护性需求：代码结构清晰，模块划分合理，遵循Python PEP8编码规范；提供详细的代码注释和系统文档；采用版本控制（Git）管理代码，方便追踪修改历史。</w:t>
      </w:r>
    </w:p>
    <w:p>
      <w:r>
        <w:t>（4）安全性需求：保护用户数据隐私，不记录用户的敏感信息；对于预测结果，明确声明仅供参考，不构成投资建议，提示投资风险。</w:t>
      </w:r>
    </w:p>
    <w:p>
      <w:pPr>
        <w:pStyle w:val="Heading2"/>
      </w:pPr>
      <w:r>
        <w:rPr>
          <w:rFonts w:ascii="黑体" w:hAnsi="黑体" w:eastAsia="黑体"/>
          <w:b/>
          <w:sz w:val="28"/>
        </w:rPr>
        <w:t>2.4  用例分析</w:t>
      </w:r>
    </w:p>
    <w:p>
      <w:r>
        <w:t>本系统的主要参与者是投资者。以下描述几个典型用例：</w:t>
      </w:r>
    </w:p>
    <w:p>
      <w:r>
        <w:t>用例1：查看股票风险预测</w:t>
      </w:r>
    </w:p>
    <w:p>
      <w:r>
        <w:t>前置条件：系统已训练好股票预测模型</w:t>
      </w:r>
    </w:p>
    <w:p>
      <w:r>
        <w:t>基本流程：</w:t>
      </w:r>
    </w:p>
    <w:p>
      <w:r>
        <w:t>（1）投资者访问系统首页</w:t>
      </w:r>
    </w:p>
    <w:p>
      <w:r>
        <w:t>（2）在侧边栏选择"股票"数据类型</w:t>
      </w:r>
    </w:p>
    <w:p>
      <w:r>
        <w:t>（3）选择具体指数（如沪深300）</w:t>
      </w:r>
    </w:p>
    <w:p>
      <w:r>
        <w:t>（4）点击"一键加载模型"按钮</w:t>
      </w:r>
    </w:p>
    <w:p>
      <w:r>
        <w:t>（5）系统加载训练好的模型和标准化器</w:t>
      </w:r>
    </w:p>
    <w:p>
      <w:r>
        <w:t>（6）点击"开始风险预测"按钮</w:t>
      </w:r>
    </w:p>
    <w:p>
      <w:r>
        <w:t>（7）系统获取最新30日数据并预测</w:t>
      </w:r>
    </w:p>
    <w:p>
      <w:r>
        <w:t>（8）显示风险概率、预测结论和投资建议</w:t>
      </w:r>
    </w:p>
    <w:p>
      <w:r>
        <w:t>后置条件：投资者了解当前市场风险状况</w:t>
      </w:r>
    </w:p>
    <w:p>
      <w:r>
        <w:t>用例2：查看历史数据走势</w:t>
      </w:r>
    </w:p>
    <w:p>
      <w:r>
        <w:t>前置条件：无</w:t>
      </w:r>
    </w:p>
    <w:p>
      <w:r>
        <w:t>基本流程：</w:t>
      </w:r>
    </w:p>
    <w:p>
      <w:r>
        <w:t>（1）投资者选择要查看的数据类型</w:t>
      </w:r>
    </w:p>
    <w:p>
      <w:r>
        <w:t>（2）点击"加载历史走势数据"按钮</w:t>
      </w:r>
    </w:p>
    <w:p>
      <w:r>
        <w:t>（3）系统从akshare获取最近60日数据</w:t>
      </w:r>
    </w:p>
    <w:p>
      <w:r>
        <w:t>（4）计算移动平均线等技术指标</w:t>
      </w:r>
    </w:p>
    <w:p>
      <w:r>
        <w:t>（5）绘制交互式价格走势图</w:t>
      </w:r>
    </w:p>
    <w:p>
      <w:r>
        <w:t>（6）以表格形式展示最近10日详细数据</w:t>
      </w:r>
    </w:p>
    <w:p>
      <w:r>
        <w:t>后置条件：投资者了解历史价格变化趋势</w:t>
      </w:r>
    </w:p>
    <w:p>
      <w:r>
        <w:br w:type="page"/>
      </w:r>
    </w:p>
    <w:p>
      <w:pPr>
        <w:pStyle w:val="Heading1"/>
      </w:pPr>
      <w:r>
        <w:rPr>
          <w:rFonts w:ascii="黑体" w:hAnsi="黑体" w:eastAsia="黑体"/>
          <w:b/>
          <w:sz w:val="32"/>
        </w:rPr>
        <w:t>第三章  系统总体设计</w:t>
      </w:r>
    </w:p>
    <w:p>
      <w:pPr>
        <w:pStyle w:val="Heading2"/>
      </w:pPr>
      <w:r>
        <w:rPr>
          <w:rFonts w:ascii="黑体" w:hAnsi="黑体" w:eastAsia="黑体"/>
          <w:b/>
          <w:sz w:val="28"/>
        </w:rPr>
        <w:t>3.1  系统架构设计</w:t>
      </w:r>
    </w:p>
    <w:p>
      <w:r>
        <w:t>本系统采用分层架构设计，从下到上分为数据层、业务逻辑层和表现层三层结构。</w:t>
      </w:r>
    </w:p>
    <w:p>
      <w:r>
        <w:t>（1）数据层：负责数据的获取、存储和管理。使用akshare库从金融数据源获取实时行情数据；使用CSV文件存储历史数据和处理后的特征数据；使用H5文件格式存储训练好的深度学习模型；使用PKL文件存储数据标准化器。数据层为上层提供统一的数据访问接口，屏蔽底层数据源的差异。</w:t>
      </w:r>
    </w:p>
    <w:p>
      <w:r>
        <w:t>（2）业务逻辑层：实现系统的核心功能。包括数据预处理模块、特征工程模块、模型训练模块和预测模块。数据预处理模块负责数据清洗、缺失值处理和异常值检测；特征工程模块计算各类技术指标；模型训练模块实现CNN-LSTM-Attention模型的构建和训练；预测模块使用训练好的模型进行风险预测和原因分析。各模块之间通过函数调用实现协作。</w:t>
      </w:r>
    </w:p>
    <w:p>
      <w:r>
        <w:t>（3）表现层：为用户提供交互界面。基于Streamlit框架开发Web应用，实现用户与系统的交互；使用Plotly库绘制交互式图表；使用Pandas DataFrame展示表格数据。表现层调用业务逻辑层的功能，将处理结果以友好的方式呈现给用户。</w:t>
      </w:r>
    </w:p>
    <w:p>
      <w:r>
        <w:t>这种分层架构具有以下优点：层次清晰，职责分明，便于理解和维护；层与层之间通过接口通信，降低耦合度，提高系统灵活性；便于扩展，可以在不影响其他层的情况下修改某一层的实现。</w:t>
      </w:r>
    </w:p>
    <w:p>
      <w:pPr>
        <w:pStyle w:val="Heading2"/>
      </w:pPr>
      <w:r>
        <w:rPr>
          <w:rFonts w:ascii="黑体" w:hAnsi="黑体" w:eastAsia="黑体"/>
          <w:b/>
          <w:sz w:val="28"/>
        </w:rPr>
        <w:t>3.2  技术选型</w:t>
      </w:r>
    </w:p>
    <w:p>
      <w:r>
        <w:t>（1）开发语言：Python 3.8。Python是一种高级编程语言，语法简洁，易于学习，拥有丰富的第三方库，特别适合数据分析和机器学习任务。</w:t>
      </w:r>
    </w:p>
    <w:p>
      <w:r>
        <w:t>（2）深度学习框架：TensorFlow 2.x。TensorFlow是Google开发的开源深度学习框架，支持GPU加速，具有高效的计算性能。TensorFlow 2.x采用Keras作为高级API，大大简化了模型构建过程，提高了开发效率。</w:t>
      </w:r>
    </w:p>
    <w:p>
      <w:r>
        <w:t>（3）数据处理：Pandas、NumPy。Pandas提供了DataFrame数据结构，非常适合处理时间序列数据；NumPy提供了高效的数值计算功能，是科学计算的基础库。</w:t>
      </w:r>
    </w:p>
    <w:p>
      <w:r>
        <w:t>（4）数据获取：akshare。akshare是一个免费的金融数据接口，提供股票、期货、基金等多种金融产品的行情数据，数据来源可靠，更新及时。</w:t>
      </w:r>
    </w:p>
    <w:p>
      <w:r>
        <w:t>（5）数据可视化：Plotly、Streamlit。Plotly是一个交互式图表库，支持多种图表类型，图表美观、交互性强；Streamlit是专为数据科学应用设计的Web框架，能够快速将Python脚本转换为Web应用。</w:t>
      </w:r>
    </w:p>
    <w:p>
      <w:r>
        <w:t>（6）机器学习：scikit-learn。scikit-learn提供了数据预处理、模型评估等实用工具，如StandardScaler标准化、train_test_split数据划分等。</w:t>
      </w:r>
    </w:p>
    <w:p>
      <w:pPr>
        <w:pStyle w:val="Heading2"/>
      </w:pPr>
      <w:r>
        <w:rPr>
          <w:rFonts w:ascii="黑体" w:hAnsi="黑体" w:eastAsia="黑体"/>
          <w:b/>
          <w:sz w:val="28"/>
        </w:rPr>
        <w:t>3.3  数据库设计</w:t>
      </w:r>
    </w:p>
    <w:p>
      <w:r>
        <w:t>考虑到系统规模和实际需求，本系统采用文件系统存储数据，而非传统的关系型数据库。这种设计具有以下优点：简化系统架构，降低部署难度；避免数据库服务器的维护成本；数据文件便于备份和迁移；适合单机运行的小型系统。</w:t>
      </w:r>
    </w:p>
    <w:p>
      <w:r>
        <w:t>系统使用以下文件存储数据：</w:t>
      </w:r>
    </w:p>
    <w:p>
      <w:r>
        <w:t>（1）原始数据文件：</w:t>
      </w:r>
    </w:p>
    <w:p>
      <w:r>
        <w:t>沪深300数据.csv：存储沪深300指数的历史行情数据，字段包括日期（date）、开盘价（open）、收盘价（close）、最高价（high）、最低价（low）、成交量（volume）。</w:t>
      </w:r>
    </w:p>
    <w:p>
      <w:r>
        <w:t>黄金数据.csv：存储黄金基准价格数据，字段包括交易时间（date）、早盘价、晚盘价等。</w:t>
      </w:r>
    </w:p>
    <w:p>
      <w:r>
        <w:t>（2）处理后数据文件：</w:t>
      </w:r>
    </w:p>
    <w:p>
      <w:r>
        <w:t>股票数据_处理后.csv：存储经过特征工程处理的股票数据，包含17项技术指标和标签字段。</w:t>
      </w:r>
    </w:p>
    <w:p>
      <w:r>
        <w:t>黄金数据_处理后.csv：存储处理后的黄金数据。</w:t>
      </w:r>
    </w:p>
    <w:p>
      <w:r>
        <w:t>合成后数据.csv：存储股票和黄金的联合数据。</w:t>
      </w:r>
    </w:p>
    <w:p>
      <w:r>
        <w:t>（3）模型文件：</w:t>
      </w:r>
    </w:p>
    <w:p>
      <w:r>
        <w:t>best_stock_model.h5：训练好的股票预测模型。</w:t>
      </w:r>
    </w:p>
    <w:p>
      <w:r>
        <w:t>best_gold_model.h5：训练好的黄金预测模型。</w:t>
      </w:r>
    </w:p>
    <w:p>
      <w:r>
        <w:t>best_combined_model.h5：训练好的联合预测模型。</w:t>
      </w:r>
    </w:p>
    <w:p>
      <w:r>
        <w:t>stock_scaler.pkl：股票数据的标准化器。</w:t>
      </w:r>
    </w:p>
    <w:p>
      <w:r>
        <w:t>gold_scaler.pkl：黄金数据的标准化器。</w:t>
      </w:r>
    </w:p>
    <w:p>
      <w:r>
        <w:t>combined_scaler.pkl：联合数据的标准化器。</w:t>
      </w:r>
    </w:p>
    <w:p>
      <w:r>
        <w:t>数据表结构设计如下（以股票数据为例）：</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宋体" w:hAnsi="宋体" w:eastAsia="宋体"/>
                <w:b/>
                <w:sz w:val="22"/>
              </w:rPr>
              <w:t>字段名</w:t>
            </w:r>
          </w:p>
        </w:tc>
        <w:tc>
          <w:tcPr>
            <w:tcW w:type="dxa" w:w="3120"/>
          </w:tcPr>
          <w:p>
            <w:r>
              <w:rPr>
                <w:rFonts w:ascii="宋体" w:hAnsi="宋体" w:eastAsia="宋体"/>
                <w:b/>
                <w:sz w:val="22"/>
              </w:rPr>
              <w:t>数据类型</w:t>
            </w:r>
          </w:p>
        </w:tc>
        <w:tc>
          <w:tcPr>
            <w:tcW w:type="dxa" w:w="3120"/>
          </w:tcPr>
          <w:p>
            <w:r>
              <w:rPr>
                <w:rFonts w:ascii="宋体" w:hAnsi="宋体" w:eastAsia="宋体"/>
                <w:b/>
                <w:sz w:val="22"/>
              </w:rPr>
              <w:t>说明</w:t>
            </w:r>
          </w:p>
        </w:tc>
      </w:tr>
      <w:tr>
        <w:tc>
          <w:tcPr>
            <w:tcW w:type="dxa" w:w="3120"/>
          </w:tcPr>
          <w:p>
            <w:r>
              <w:rPr>
                <w:rFonts w:ascii="宋体" w:hAnsi="宋体" w:eastAsia="宋体"/>
                <w:sz w:val="22"/>
              </w:rPr>
              <w:t>date</w:t>
            </w:r>
          </w:p>
        </w:tc>
        <w:tc>
          <w:tcPr>
            <w:tcW w:type="dxa" w:w="3120"/>
          </w:tcPr>
          <w:p>
            <w:r>
              <w:rPr>
                <w:rFonts w:ascii="宋体" w:hAnsi="宋体" w:eastAsia="宋体"/>
                <w:sz w:val="22"/>
              </w:rPr>
              <w:t>datetime</w:t>
            </w:r>
          </w:p>
        </w:tc>
        <w:tc>
          <w:tcPr>
            <w:tcW w:type="dxa" w:w="3120"/>
          </w:tcPr>
          <w:p>
            <w:r>
              <w:rPr>
                <w:rFonts w:ascii="宋体" w:hAnsi="宋体" w:eastAsia="宋体"/>
                <w:sz w:val="22"/>
              </w:rPr>
              <w:t>日期</w:t>
            </w:r>
          </w:p>
        </w:tc>
      </w:tr>
      <w:tr>
        <w:tc>
          <w:tcPr>
            <w:tcW w:type="dxa" w:w="3120"/>
          </w:tcPr>
          <w:p>
            <w:r>
              <w:rPr>
                <w:rFonts w:ascii="宋体" w:hAnsi="宋体" w:eastAsia="宋体"/>
                <w:sz w:val="22"/>
              </w:rPr>
              <w:t>close_stock</w:t>
            </w:r>
          </w:p>
        </w:tc>
        <w:tc>
          <w:tcPr>
            <w:tcW w:type="dxa" w:w="3120"/>
          </w:tcPr>
          <w:p>
            <w:r>
              <w:rPr>
                <w:rFonts w:ascii="宋体" w:hAnsi="宋体" w:eastAsia="宋体"/>
                <w:sz w:val="22"/>
              </w:rPr>
              <w:t>float</w:t>
            </w:r>
          </w:p>
        </w:tc>
        <w:tc>
          <w:tcPr>
            <w:tcW w:type="dxa" w:w="3120"/>
          </w:tcPr>
          <w:p>
            <w:r>
              <w:rPr>
                <w:rFonts w:ascii="宋体" w:hAnsi="宋体" w:eastAsia="宋体"/>
                <w:sz w:val="22"/>
              </w:rPr>
              <w:t>收盘价</w:t>
            </w:r>
          </w:p>
        </w:tc>
      </w:tr>
      <w:tr>
        <w:tc>
          <w:tcPr>
            <w:tcW w:type="dxa" w:w="3120"/>
          </w:tcPr>
          <w:p>
            <w:r>
              <w:rPr>
                <w:rFonts w:ascii="宋体" w:hAnsi="宋体" w:eastAsia="宋体"/>
                <w:sz w:val="22"/>
              </w:rPr>
              <w:t>open_stock</w:t>
            </w:r>
          </w:p>
        </w:tc>
        <w:tc>
          <w:tcPr>
            <w:tcW w:type="dxa" w:w="3120"/>
          </w:tcPr>
          <w:p>
            <w:r>
              <w:rPr>
                <w:rFonts w:ascii="宋体" w:hAnsi="宋体" w:eastAsia="宋体"/>
                <w:sz w:val="22"/>
              </w:rPr>
              <w:t>float</w:t>
            </w:r>
          </w:p>
        </w:tc>
        <w:tc>
          <w:tcPr>
            <w:tcW w:type="dxa" w:w="3120"/>
          </w:tcPr>
          <w:p>
            <w:r>
              <w:rPr>
                <w:rFonts w:ascii="宋体" w:hAnsi="宋体" w:eastAsia="宋体"/>
                <w:sz w:val="22"/>
              </w:rPr>
              <w:t>开盘价</w:t>
            </w:r>
          </w:p>
        </w:tc>
      </w:tr>
      <w:tr>
        <w:tc>
          <w:tcPr>
            <w:tcW w:type="dxa" w:w="3120"/>
          </w:tcPr>
          <w:p>
            <w:r>
              <w:rPr>
                <w:rFonts w:ascii="宋体" w:hAnsi="宋体" w:eastAsia="宋体"/>
                <w:sz w:val="22"/>
              </w:rPr>
              <w:t>high_stock</w:t>
            </w:r>
          </w:p>
        </w:tc>
        <w:tc>
          <w:tcPr>
            <w:tcW w:type="dxa" w:w="3120"/>
          </w:tcPr>
          <w:p>
            <w:r>
              <w:rPr>
                <w:rFonts w:ascii="宋体" w:hAnsi="宋体" w:eastAsia="宋体"/>
                <w:sz w:val="22"/>
              </w:rPr>
              <w:t>float</w:t>
            </w:r>
          </w:p>
        </w:tc>
        <w:tc>
          <w:tcPr>
            <w:tcW w:type="dxa" w:w="3120"/>
          </w:tcPr>
          <w:p>
            <w:r>
              <w:rPr>
                <w:rFonts w:ascii="宋体" w:hAnsi="宋体" w:eastAsia="宋体"/>
                <w:sz w:val="22"/>
              </w:rPr>
              <w:t>最高价</w:t>
            </w:r>
          </w:p>
        </w:tc>
      </w:tr>
      <w:tr>
        <w:tc>
          <w:tcPr>
            <w:tcW w:type="dxa" w:w="3120"/>
          </w:tcPr>
          <w:p>
            <w:r>
              <w:rPr>
                <w:rFonts w:ascii="宋体" w:hAnsi="宋体" w:eastAsia="宋体"/>
                <w:sz w:val="22"/>
              </w:rPr>
              <w:t>low_stock</w:t>
            </w:r>
          </w:p>
        </w:tc>
        <w:tc>
          <w:tcPr>
            <w:tcW w:type="dxa" w:w="3120"/>
          </w:tcPr>
          <w:p>
            <w:r>
              <w:rPr>
                <w:rFonts w:ascii="宋体" w:hAnsi="宋体" w:eastAsia="宋体"/>
                <w:sz w:val="22"/>
              </w:rPr>
              <w:t>float</w:t>
            </w:r>
          </w:p>
        </w:tc>
        <w:tc>
          <w:tcPr>
            <w:tcW w:type="dxa" w:w="3120"/>
          </w:tcPr>
          <w:p>
            <w:r>
              <w:rPr>
                <w:rFonts w:ascii="宋体" w:hAnsi="宋体" w:eastAsia="宋体"/>
                <w:sz w:val="22"/>
              </w:rPr>
              <w:t>最低价</w:t>
            </w:r>
          </w:p>
        </w:tc>
      </w:tr>
      <w:tr>
        <w:tc>
          <w:tcPr>
            <w:tcW w:type="dxa" w:w="3120"/>
          </w:tcPr>
          <w:p>
            <w:r>
              <w:rPr>
                <w:rFonts w:ascii="宋体" w:hAnsi="宋体" w:eastAsia="宋体"/>
                <w:sz w:val="22"/>
              </w:rPr>
              <w:t>MA5_stock</w:t>
            </w:r>
          </w:p>
        </w:tc>
        <w:tc>
          <w:tcPr>
            <w:tcW w:type="dxa" w:w="3120"/>
          </w:tcPr>
          <w:p>
            <w:r>
              <w:rPr>
                <w:rFonts w:ascii="宋体" w:hAnsi="宋体" w:eastAsia="宋体"/>
                <w:sz w:val="22"/>
              </w:rPr>
              <w:t>float</w:t>
            </w:r>
          </w:p>
        </w:tc>
        <w:tc>
          <w:tcPr>
            <w:tcW w:type="dxa" w:w="3120"/>
          </w:tcPr>
          <w:p>
            <w:r>
              <w:rPr>
                <w:rFonts w:ascii="宋体" w:hAnsi="宋体" w:eastAsia="宋体"/>
                <w:sz w:val="22"/>
              </w:rPr>
              <w:t>5日移动平均</w:t>
            </w:r>
          </w:p>
        </w:tc>
      </w:tr>
      <w:tr>
        <w:tc>
          <w:tcPr>
            <w:tcW w:type="dxa" w:w="3120"/>
          </w:tcPr>
          <w:p>
            <w:r>
              <w:rPr>
                <w:rFonts w:ascii="宋体" w:hAnsi="宋体" w:eastAsia="宋体"/>
                <w:sz w:val="22"/>
              </w:rPr>
              <w:t>volatility</w:t>
            </w:r>
          </w:p>
        </w:tc>
        <w:tc>
          <w:tcPr>
            <w:tcW w:type="dxa" w:w="3120"/>
          </w:tcPr>
          <w:p>
            <w:r>
              <w:rPr>
                <w:rFonts w:ascii="宋体" w:hAnsi="宋体" w:eastAsia="宋体"/>
                <w:sz w:val="22"/>
              </w:rPr>
              <w:t>float</w:t>
            </w:r>
          </w:p>
        </w:tc>
        <w:tc>
          <w:tcPr>
            <w:tcW w:type="dxa" w:w="3120"/>
          </w:tcPr>
          <w:p>
            <w:r>
              <w:rPr>
                <w:rFonts w:ascii="宋体" w:hAnsi="宋体" w:eastAsia="宋体"/>
                <w:sz w:val="22"/>
              </w:rPr>
              <w:t>20日波动率</w:t>
            </w:r>
          </w:p>
        </w:tc>
      </w:tr>
      <w:tr>
        <w:tc>
          <w:tcPr>
            <w:tcW w:type="dxa" w:w="3120"/>
          </w:tcPr>
          <w:p>
            <w:r>
              <w:rPr>
                <w:rFonts w:ascii="宋体" w:hAnsi="宋体" w:eastAsia="宋体"/>
                <w:sz w:val="22"/>
              </w:rPr>
              <w:t>return</w:t>
            </w:r>
          </w:p>
        </w:tc>
        <w:tc>
          <w:tcPr>
            <w:tcW w:type="dxa" w:w="3120"/>
          </w:tcPr>
          <w:p>
            <w:r>
              <w:rPr>
                <w:rFonts w:ascii="宋体" w:hAnsi="宋体" w:eastAsia="宋体"/>
                <w:sz w:val="22"/>
              </w:rPr>
              <w:t>float</w:t>
            </w:r>
          </w:p>
        </w:tc>
        <w:tc>
          <w:tcPr>
            <w:tcW w:type="dxa" w:w="3120"/>
          </w:tcPr>
          <w:p>
            <w:r>
              <w:rPr>
                <w:rFonts w:ascii="宋体" w:hAnsi="宋体" w:eastAsia="宋体"/>
                <w:sz w:val="22"/>
              </w:rPr>
              <w:t>日收益率</w:t>
            </w:r>
          </w:p>
        </w:tc>
      </w:tr>
      <w:tr>
        <w:tc>
          <w:tcPr>
            <w:tcW w:type="dxa" w:w="3120"/>
          </w:tcPr>
          <w:p>
            <w:r>
              <w:rPr>
                <w:rFonts w:ascii="宋体" w:hAnsi="宋体" w:eastAsia="宋体"/>
                <w:sz w:val="22"/>
              </w:rPr>
              <w:t>MACD_diff</w:t>
            </w:r>
          </w:p>
        </w:tc>
        <w:tc>
          <w:tcPr>
            <w:tcW w:type="dxa" w:w="3120"/>
          </w:tcPr>
          <w:p>
            <w:r>
              <w:rPr>
                <w:rFonts w:ascii="宋体" w:hAnsi="宋体" w:eastAsia="宋体"/>
                <w:sz w:val="22"/>
              </w:rPr>
              <w:t>float</w:t>
            </w:r>
          </w:p>
        </w:tc>
        <w:tc>
          <w:tcPr>
            <w:tcW w:type="dxa" w:w="3120"/>
          </w:tcPr>
          <w:p>
            <w:r>
              <w:rPr>
                <w:rFonts w:ascii="宋体" w:hAnsi="宋体" w:eastAsia="宋体"/>
                <w:sz w:val="22"/>
              </w:rPr>
              <w:t>MACD差值</w:t>
            </w:r>
          </w:p>
        </w:tc>
      </w:tr>
      <w:tr>
        <w:tc>
          <w:tcPr>
            <w:tcW w:type="dxa" w:w="3120"/>
          </w:tcPr>
          <w:p>
            <w:r>
              <w:rPr>
                <w:rFonts w:ascii="宋体" w:hAnsi="宋体" w:eastAsia="宋体"/>
                <w:sz w:val="22"/>
              </w:rPr>
              <w:t>MACD_dea</w:t>
            </w:r>
          </w:p>
        </w:tc>
        <w:tc>
          <w:tcPr>
            <w:tcW w:type="dxa" w:w="3120"/>
          </w:tcPr>
          <w:p>
            <w:r>
              <w:rPr>
                <w:rFonts w:ascii="宋体" w:hAnsi="宋体" w:eastAsia="宋体"/>
                <w:sz w:val="22"/>
              </w:rPr>
              <w:t>float</w:t>
            </w:r>
          </w:p>
        </w:tc>
        <w:tc>
          <w:tcPr>
            <w:tcW w:type="dxa" w:w="3120"/>
          </w:tcPr>
          <w:p>
            <w:r>
              <w:rPr>
                <w:rFonts w:ascii="宋体" w:hAnsi="宋体" w:eastAsia="宋体"/>
                <w:sz w:val="22"/>
              </w:rPr>
              <w:t>MACD信号线</w:t>
            </w:r>
          </w:p>
        </w:tc>
      </w:tr>
      <w:tr>
        <w:tc>
          <w:tcPr>
            <w:tcW w:type="dxa" w:w="3120"/>
          </w:tcPr>
          <w:p>
            <w:r>
              <w:rPr>
                <w:rFonts w:ascii="宋体" w:hAnsi="宋体" w:eastAsia="宋体"/>
                <w:sz w:val="22"/>
              </w:rPr>
              <w:t>MACD_hist</w:t>
            </w:r>
          </w:p>
        </w:tc>
        <w:tc>
          <w:tcPr>
            <w:tcW w:type="dxa" w:w="3120"/>
          </w:tcPr>
          <w:p>
            <w:r>
              <w:rPr>
                <w:rFonts w:ascii="宋体" w:hAnsi="宋体" w:eastAsia="宋体"/>
                <w:sz w:val="22"/>
              </w:rPr>
              <w:t>float</w:t>
            </w:r>
          </w:p>
        </w:tc>
        <w:tc>
          <w:tcPr>
            <w:tcW w:type="dxa" w:w="3120"/>
          </w:tcPr>
          <w:p>
            <w:r>
              <w:rPr>
                <w:rFonts w:ascii="宋体" w:hAnsi="宋体" w:eastAsia="宋体"/>
                <w:sz w:val="22"/>
              </w:rPr>
              <w:t>MACD柱状图</w:t>
            </w:r>
          </w:p>
        </w:tc>
      </w:tr>
      <w:tr>
        <w:tc>
          <w:tcPr>
            <w:tcW w:type="dxa" w:w="3120"/>
          </w:tcPr>
          <w:p>
            <w:r>
              <w:rPr>
                <w:rFonts w:ascii="宋体" w:hAnsi="宋体" w:eastAsia="宋体"/>
                <w:sz w:val="22"/>
              </w:rPr>
              <w:t>KDJ_K</w:t>
            </w:r>
          </w:p>
        </w:tc>
        <w:tc>
          <w:tcPr>
            <w:tcW w:type="dxa" w:w="3120"/>
          </w:tcPr>
          <w:p>
            <w:r>
              <w:rPr>
                <w:rFonts w:ascii="宋体" w:hAnsi="宋体" w:eastAsia="宋体"/>
                <w:sz w:val="22"/>
              </w:rPr>
              <w:t>float</w:t>
            </w:r>
          </w:p>
        </w:tc>
        <w:tc>
          <w:tcPr>
            <w:tcW w:type="dxa" w:w="3120"/>
          </w:tcPr>
          <w:p>
            <w:r>
              <w:rPr>
                <w:rFonts w:ascii="宋体" w:hAnsi="宋体" w:eastAsia="宋体"/>
                <w:sz w:val="22"/>
              </w:rPr>
              <w:t>KDJ的K值</w:t>
            </w:r>
          </w:p>
        </w:tc>
      </w:tr>
      <w:tr>
        <w:tc>
          <w:tcPr>
            <w:tcW w:type="dxa" w:w="3120"/>
          </w:tcPr>
          <w:p>
            <w:r>
              <w:rPr>
                <w:rFonts w:ascii="宋体" w:hAnsi="宋体" w:eastAsia="宋体"/>
                <w:sz w:val="22"/>
              </w:rPr>
              <w:t>KDJ_D</w:t>
            </w:r>
          </w:p>
        </w:tc>
        <w:tc>
          <w:tcPr>
            <w:tcW w:type="dxa" w:w="3120"/>
          </w:tcPr>
          <w:p>
            <w:r>
              <w:rPr>
                <w:rFonts w:ascii="宋体" w:hAnsi="宋体" w:eastAsia="宋体"/>
                <w:sz w:val="22"/>
              </w:rPr>
              <w:t>float</w:t>
            </w:r>
          </w:p>
        </w:tc>
        <w:tc>
          <w:tcPr>
            <w:tcW w:type="dxa" w:w="3120"/>
          </w:tcPr>
          <w:p>
            <w:r>
              <w:rPr>
                <w:rFonts w:ascii="宋体" w:hAnsi="宋体" w:eastAsia="宋体"/>
                <w:sz w:val="22"/>
              </w:rPr>
              <w:t>KDJ的D值</w:t>
            </w:r>
          </w:p>
        </w:tc>
      </w:tr>
      <w:tr>
        <w:tc>
          <w:tcPr>
            <w:tcW w:type="dxa" w:w="3120"/>
          </w:tcPr>
          <w:p>
            <w:r>
              <w:rPr>
                <w:rFonts w:ascii="宋体" w:hAnsi="宋体" w:eastAsia="宋体"/>
                <w:sz w:val="22"/>
              </w:rPr>
              <w:t>KDJ_J</w:t>
            </w:r>
          </w:p>
        </w:tc>
        <w:tc>
          <w:tcPr>
            <w:tcW w:type="dxa" w:w="3120"/>
          </w:tcPr>
          <w:p>
            <w:r>
              <w:rPr>
                <w:rFonts w:ascii="宋体" w:hAnsi="宋体" w:eastAsia="宋体"/>
                <w:sz w:val="22"/>
              </w:rPr>
              <w:t>float</w:t>
            </w:r>
          </w:p>
        </w:tc>
        <w:tc>
          <w:tcPr>
            <w:tcW w:type="dxa" w:w="3120"/>
          </w:tcPr>
          <w:p>
            <w:r>
              <w:rPr>
                <w:rFonts w:ascii="宋体" w:hAnsi="宋体" w:eastAsia="宋体"/>
                <w:sz w:val="22"/>
              </w:rPr>
              <w:t>KDJ的J值</w:t>
            </w:r>
          </w:p>
        </w:tc>
      </w:tr>
      <w:tr>
        <w:tc>
          <w:tcPr>
            <w:tcW w:type="dxa" w:w="3120"/>
          </w:tcPr>
          <w:p>
            <w:r>
              <w:rPr>
                <w:rFonts w:ascii="宋体" w:hAnsi="宋体" w:eastAsia="宋体"/>
                <w:sz w:val="22"/>
              </w:rPr>
              <w:t>RSI</w:t>
            </w:r>
          </w:p>
        </w:tc>
        <w:tc>
          <w:tcPr>
            <w:tcW w:type="dxa" w:w="3120"/>
          </w:tcPr>
          <w:p>
            <w:r>
              <w:rPr>
                <w:rFonts w:ascii="宋体" w:hAnsi="宋体" w:eastAsia="宋体"/>
                <w:sz w:val="22"/>
              </w:rPr>
              <w:t>float</w:t>
            </w:r>
          </w:p>
        </w:tc>
        <w:tc>
          <w:tcPr>
            <w:tcW w:type="dxa" w:w="3120"/>
          </w:tcPr>
          <w:p>
            <w:r>
              <w:rPr>
                <w:rFonts w:ascii="宋体" w:hAnsi="宋体" w:eastAsia="宋体"/>
                <w:sz w:val="22"/>
              </w:rPr>
              <w:t>相对强弱指标</w:t>
            </w:r>
          </w:p>
        </w:tc>
      </w:tr>
      <w:tr>
        <w:tc>
          <w:tcPr>
            <w:tcW w:type="dxa" w:w="3120"/>
          </w:tcPr>
          <w:p>
            <w:r>
              <w:rPr>
                <w:rFonts w:ascii="宋体" w:hAnsi="宋体" w:eastAsia="宋体"/>
                <w:sz w:val="22"/>
              </w:rPr>
              <w:t>BOLL_upper</w:t>
            </w:r>
          </w:p>
        </w:tc>
        <w:tc>
          <w:tcPr>
            <w:tcW w:type="dxa" w:w="3120"/>
          </w:tcPr>
          <w:p>
            <w:r>
              <w:rPr>
                <w:rFonts w:ascii="宋体" w:hAnsi="宋体" w:eastAsia="宋体"/>
                <w:sz w:val="22"/>
              </w:rPr>
              <w:t>float</w:t>
            </w:r>
          </w:p>
        </w:tc>
        <w:tc>
          <w:tcPr>
            <w:tcW w:type="dxa" w:w="3120"/>
          </w:tcPr>
          <w:p>
            <w:r>
              <w:rPr>
                <w:rFonts w:ascii="宋体" w:hAnsi="宋体" w:eastAsia="宋体"/>
                <w:sz w:val="22"/>
              </w:rPr>
              <w:t>布林带上轨</w:t>
            </w:r>
          </w:p>
        </w:tc>
      </w:tr>
      <w:tr>
        <w:tc>
          <w:tcPr>
            <w:tcW w:type="dxa" w:w="3120"/>
          </w:tcPr>
          <w:p>
            <w:r>
              <w:rPr>
                <w:rFonts w:ascii="宋体" w:hAnsi="宋体" w:eastAsia="宋体"/>
                <w:sz w:val="22"/>
              </w:rPr>
              <w:t>BOLL_middle</w:t>
            </w:r>
          </w:p>
        </w:tc>
        <w:tc>
          <w:tcPr>
            <w:tcW w:type="dxa" w:w="3120"/>
          </w:tcPr>
          <w:p>
            <w:r>
              <w:rPr>
                <w:rFonts w:ascii="宋体" w:hAnsi="宋体" w:eastAsia="宋体"/>
                <w:sz w:val="22"/>
              </w:rPr>
              <w:t>float</w:t>
            </w:r>
          </w:p>
        </w:tc>
        <w:tc>
          <w:tcPr>
            <w:tcW w:type="dxa" w:w="3120"/>
          </w:tcPr>
          <w:p>
            <w:r>
              <w:rPr>
                <w:rFonts w:ascii="宋体" w:hAnsi="宋体" w:eastAsia="宋体"/>
                <w:sz w:val="22"/>
              </w:rPr>
              <w:t>布林带中轨</w:t>
            </w:r>
          </w:p>
        </w:tc>
      </w:tr>
      <w:tr>
        <w:tc>
          <w:tcPr>
            <w:tcW w:type="dxa" w:w="3120"/>
          </w:tcPr>
          <w:p>
            <w:r>
              <w:rPr>
                <w:rFonts w:ascii="宋体" w:hAnsi="宋体" w:eastAsia="宋体"/>
                <w:sz w:val="22"/>
              </w:rPr>
              <w:t>BOLL_lower</w:t>
            </w:r>
          </w:p>
        </w:tc>
        <w:tc>
          <w:tcPr>
            <w:tcW w:type="dxa" w:w="3120"/>
          </w:tcPr>
          <w:p>
            <w:r>
              <w:rPr>
                <w:rFonts w:ascii="宋体" w:hAnsi="宋体" w:eastAsia="宋体"/>
                <w:sz w:val="22"/>
              </w:rPr>
              <w:t>float</w:t>
            </w:r>
          </w:p>
        </w:tc>
        <w:tc>
          <w:tcPr>
            <w:tcW w:type="dxa" w:w="3120"/>
          </w:tcPr>
          <w:p>
            <w:r>
              <w:rPr>
                <w:rFonts w:ascii="宋体" w:hAnsi="宋体" w:eastAsia="宋体"/>
                <w:sz w:val="22"/>
              </w:rPr>
              <w:t>布林带下轨</w:t>
            </w:r>
          </w:p>
        </w:tc>
      </w:tr>
      <w:tr>
        <w:tc>
          <w:tcPr>
            <w:tcW w:type="dxa" w:w="3120"/>
          </w:tcPr>
          <w:p>
            <w:r>
              <w:rPr>
                <w:rFonts w:ascii="宋体" w:hAnsi="宋体" w:eastAsia="宋体"/>
                <w:sz w:val="22"/>
              </w:rPr>
              <w:t>label</w:t>
            </w:r>
          </w:p>
        </w:tc>
        <w:tc>
          <w:tcPr>
            <w:tcW w:type="dxa" w:w="3120"/>
          </w:tcPr>
          <w:p>
            <w:r>
              <w:rPr>
                <w:rFonts w:ascii="宋体" w:hAnsi="宋体" w:eastAsia="宋体"/>
                <w:sz w:val="22"/>
              </w:rPr>
              <w:t>int</w:t>
            </w:r>
          </w:p>
        </w:tc>
        <w:tc>
          <w:tcPr>
            <w:tcW w:type="dxa" w:w="3120"/>
          </w:tcPr>
          <w:p>
            <w:r>
              <w:rPr>
                <w:rFonts w:ascii="宋体" w:hAnsi="宋体" w:eastAsia="宋体"/>
                <w:sz w:val="22"/>
              </w:rPr>
              <w:t>标签（0/1）</w:t>
            </w:r>
          </w:p>
        </w:tc>
      </w:tr>
    </w:tbl>
    <w:p>
      <w:pPr>
        <w:jc w:val="center"/>
      </w:pPr>
      <w:r>
        <w:rPr>
          <w:rFonts w:ascii="宋体" w:hAnsi="宋体" w:eastAsia="宋体"/>
          <w:sz w:val="22"/>
        </w:rPr>
        <w:t>表3-1  股票数据表结构</w:t>
      </w:r>
    </w:p>
    <w:p>
      <w:pPr>
        <w:pStyle w:val="Heading2"/>
      </w:pPr>
      <w:r>
        <w:rPr>
          <w:rFonts w:ascii="黑体" w:hAnsi="黑体" w:eastAsia="黑体"/>
          <w:b/>
          <w:sz w:val="28"/>
        </w:rPr>
        <w:t>3.4  模块划分</w:t>
      </w:r>
    </w:p>
    <w:p>
      <w:r>
        <w:t>根据系统功能需求，将系统划分为以下模块：</w:t>
      </w:r>
    </w:p>
    <w:p>
      <w:r>
        <w:t>（1）数据采集模块（data_download.py）：负责从akshare接口下载股票和黄金市场数据，保存为CSV文件。该模块提供了灵活的参数配置，支持不同时间范围和不同标的的数据获取。</w:t>
      </w:r>
    </w:p>
    <w:p>
      <w:r>
        <w:t>（2）数据处理模块（data_process.py）：对原始数据进行清洗和特征工程。包括缺失值填充、异常值检测、技术指标计算、数据标准化等功能。该模块采用流水线式处理，确保数据质量。</w:t>
      </w:r>
    </w:p>
    <w:p>
      <w:r>
        <w:t>（3）模型定义模块（model.py、advanced_model.py）：定义深度学习模型的网络结构。包括CNN层、LSTM层、Attention层和全连接层的堆叠。提供create_stock_model、create_gold_model、create_combined_model等函数，分别创建不同类型的预测模型。</w:t>
      </w:r>
    </w:p>
    <w:p>
      <w:r>
        <w:t>（4）模型训练模块（train.py）：实现模型的训练流程。包括数据加载、样本构建、模型编译、训练循环、模型评估和模型保存。采用类别权重平衡、早停机制、最优模型检查点等技术优化训练过程。</w:t>
      </w:r>
    </w:p>
    <w:p>
      <w:r>
        <w:t>（5）预测模块（predict.py）：提供风险预测功能。加载训练好的模型和标准化器，获取最新数据，进行特征提取和模型推理，输出风险概率和预测结论。同时提供原因分析功能，解释预测结果。</w:t>
      </w:r>
    </w:p>
    <w:p>
      <w:r>
        <w:t>（6）可视化模块（app.py）：基于Streamlit实现Web界面。提供用户交互控件（按钮、选择框等）、数据展示（图表、表格）、结果呈现（风险提示、投资建议）等功能。该模块整合了其他模块的功能，是用户直接接触的部分。</w:t>
      </w:r>
    </w:p>
    <w:p>
      <w:r>
        <w:t>各模块之间的调用关系如下：可视化模块调用预测模块进行风险预测，预测模块依赖模型定义模块和数据处理模块；模型训练模块调用模型定义模块和数据处理模块；数据处理模块依赖数据采集模块提供的原始数据。这种模块化设计使得系统结构清晰，便于开发和维护。</w:t>
      </w:r>
    </w:p>
    <w:p>
      <w:r>
        <w:br w:type="page"/>
      </w:r>
    </w:p>
    <w:p>
      <w:pPr>
        <w:pStyle w:val="Heading1"/>
      </w:pPr>
      <w:r>
        <w:rPr>
          <w:rFonts w:ascii="黑体" w:hAnsi="黑体" w:eastAsia="黑体"/>
          <w:b/>
          <w:sz w:val="32"/>
        </w:rPr>
        <w:t>第四章  关键技术与算法</w:t>
      </w:r>
    </w:p>
    <w:p>
      <w:pPr>
        <w:pStyle w:val="Heading2"/>
      </w:pPr>
      <w:r>
        <w:rPr>
          <w:rFonts w:ascii="黑体" w:hAnsi="黑体" w:eastAsia="黑体"/>
          <w:b/>
          <w:sz w:val="28"/>
        </w:rPr>
        <w:t>4.1  深度学习基础</w:t>
      </w:r>
    </w:p>
    <w:p>
      <w:r>
        <w:t>深度学习是机器学习的一个分支，通过构建多层神经网络来学习数据的内在规律和表示层次。与传统的浅层学习方法相比，深度学习能够自动学习特征表示，无需人工设计特征，在处理复杂数据时具有显著优势[14]。</w:t>
      </w:r>
    </w:p>
    <w:p>
      <w:r>
        <w:t>神经网络的基本单元是神经元。每个神经元接收多个输入，对输入进行加权求和，然后通过激活函数产生输出。数学表示为：</w:t>
      </w:r>
    </w:p>
    <w:p>
      <w:pPr>
        <w:jc w:val="center"/>
      </w:pPr>
      <w:r>
        <w:rPr>
          <w:rFonts w:ascii="Times New Roman" w:hAnsi="Times New Roman"/>
          <w:i/>
          <w:sz w:val="24"/>
        </w:rPr>
        <w:t>y = f(∑wixi + b)</w:t>
      </w:r>
    </w:p>
    <w:p>
      <w:r>
        <w:t>其中，xi是输入，wi是权重，b是偏置，f是激活函数，y是输出。常用的激活函数包括ReLU、Sigmoid、Tanh等。ReLU函数定义为f(x)=max(0,x)，能够缓解梯度消失问题，被广泛应用于深度网络。</w:t>
      </w:r>
    </w:p>
    <w:p>
      <w:r>
        <w:t>深度学习模型的训练采用反向传播算法。该算法分为前向传播和反向传播两个阶段。前向传播阶段，输入数据从输入层经过各隐藏层到达输出层，计算预测结果；反向传播阶段，根据预测结果与真实标签的误差，反向计算每一层的梯度，并更新网络参数。参数更新采用梯度下降法，沿着损失函数梯度的负方向调整参数，使损失函数逐渐减小。</w:t>
      </w:r>
    </w:p>
    <w:p>
      <w:r>
        <w:t>在金融时间序列预测任务中，常用的深度学习模型包括卷积神经网络（CNN）、循环神经网络（RNN）及其变种LSTM（长短期记忆网络）、GRU（门控循环单元）等。CNN擅长提取局部特征，适合处理空间数据；RNN及其变种能够建模时序依赖关系，适合处理序列数据。本研究将两者结合，设计了CNN-LSTM-Attention混合模型，充分发挥各自优势。</w:t>
      </w:r>
    </w:p>
    <w:p>
      <w:pPr>
        <w:pStyle w:val="Heading2"/>
      </w:pPr>
      <w:r>
        <w:rPr>
          <w:rFonts w:ascii="黑体" w:hAnsi="黑体" w:eastAsia="黑体"/>
          <w:b/>
          <w:sz w:val="28"/>
        </w:rPr>
        <w:t>4.2  CNN-LSTM-Attention模型</w:t>
      </w:r>
    </w:p>
    <w:p>
      <w:pPr>
        <w:pStyle w:val="Heading3"/>
      </w:pPr>
      <w:r>
        <w:rPr>
          <w:rFonts w:ascii="黑体" w:hAnsi="黑体" w:eastAsia="黑体"/>
          <w:b/>
          <w:sz w:val="24"/>
        </w:rPr>
        <w:t>4.2.1  卷积神经网络（CNN）</w:t>
      </w:r>
    </w:p>
    <w:p>
      <w:r>
        <w:t>卷积神经网络最初应用于图像识别领域，通过卷积操作提取图像的局部特征。在时间序列预测中，可以将一维卷积应用于时间轴，提取短期波动模式。</w:t>
      </w:r>
    </w:p>
    <w:p>
      <w:r>
        <w:t>一维卷积操作的数学定义为：</w:t>
      </w:r>
    </w:p>
    <w:p>
      <w:pPr>
        <w:jc w:val="center"/>
      </w:pPr>
      <w:r>
        <w:rPr>
          <w:rFonts w:ascii="Times New Roman" w:hAnsi="Times New Roman"/>
          <w:i/>
          <w:sz w:val="24"/>
        </w:rPr>
        <w:t>y_i = f(∑_j w_j * x_(i+j) + b)</w:t>
      </w:r>
    </w:p>
    <w:p>
      <w:r>
        <w:t>其中，x是输入序列，w是卷积核（滤波器），b是偏置，y是卷积后的输出，f是激活函数。卷积核在输入序列上滑动，提取局部模式。通过使用多个卷积核，可以提取多种不同的特征。</w:t>
      </w:r>
    </w:p>
    <w:p>
      <w:r>
        <w:t>在本系统中，使用了两层一维卷积网络。第一层使用64个滤波器，卷积核大小为3，提取基础特征；第二层使用128个滤波器，提取更高层次的特征。每一层卷积后接一个最大池化层（MaxPooling），降低特征维度，减少计算量，同时增强特征的鲁棒性。</w:t>
      </w:r>
    </w:p>
    <w:p>
      <w:pPr>
        <w:pStyle w:val="Heading3"/>
      </w:pPr>
      <w:r>
        <w:rPr>
          <w:rFonts w:ascii="黑体" w:hAnsi="黑体" w:eastAsia="黑体"/>
          <w:b/>
          <w:sz w:val="24"/>
        </w:rPr>
        <w:t>4.2.2  长短期记忆网络（LSTM）</w:t>
      </w:r>
    </w:p>
    <w:p>
      <w:r>
        <w:t>循环神经网络（RNN）是一类专门处理序列数据的神经网络，通过在时间步之间传递隐藏状态来建模时序依赖关系。然而，传统RNN存在梯度消失和梯度爆炸问题，难以学习长期依赖[15]。</w:t>
      </w:r>
    </w:p>
    <w:p>
      <w:r>
        <w:t>LSTM是RNN的一种改进变体，通过引入门控机制（输入门、遗忘门、输出门）和细胞状态，有效缓解了梯度消失问题，能够学习长期依赖关系。LSTM的核心计算公式如下：</w:t>
      </w:r>
    </w:p>
    <w:p>
      <w:pPr>
        <w:jc w:val="center"/>
      </w:pPr>
      <w:r>
        <w:rPr>
          <w:rFonts w:ascii="Times New Roman" w:hAnsi="Times New Roman"/>
          <w:sz w:val="22"/>
        </w:rPr>
        <w:t>遗忘门：f_t = σ(W_f · [h_(t-1), x_t] + b_f)</w:t>
        <w:br/>
      </w:r>
    </w:p>
    <w:p>
      <w:pPr>
        <w:jc w:val="center"/>
      </w:pPr>
      <w:r>
        <w:rPr>
          <w:rFonts w:ascii="Times New Roman" w:hAnsi="Times New Roman"/>
          <w:sz w:val="22"/>
        </w:rPr>
        <w:t>输入门：i_t = σ(W_i · [h_(t-1), x_t] + b_i)</w:t>
        <w:br/>
      </w:r>
    </w:p>
    <w:p>
      <w:pPr>
        <w:jc w:val="center"/>
      </w:pPr>
      <w:r>
        <w:rPr>
          <w:rFonts w:ascii="Times New Roman" w:hAnsi="Times New Roman"/>
          <w:sz w:val="22"/>
        </w:rPr>
        <w:t>候选细胞状态：C̃_t = tanh(W_C · [h_(t-1), x_t] + b_C)</w:t>
        <w:br/>
      </w:r>
    </w:p>
    <w:p>
      <w:pPr>
        <w:jc w:val="center"/>
      </w:pPr>
      <w:r>
        <w:rPr>
          <w:rFonts w:ascii="Times New Roman" w:hAnsi="Times New Roman"/>
          <w:sz w:val="22"/>
        </w:rPr>
        <w:t>细胞状态更新：C_t = f_t * C_(t-1) + i_t * C̃_t</w:t>
        <w:br/>
      </w:r>
    </w:p>
    <w:p>
      <w:pPr>
        <w:jc w:val="center"/>
      </w:pPr>
      <w:r>
        <w:rPr>
          <w:rFonts w:ascii="Times New Roman" w:hAnsi="Times New Roman"/>
          <w:sz w:val="22"/>
        </w:rPr>
        <w:t>输出门：o_t = σ(W_o · [h_(t-1), x_t] + b_o)</w:t>
        <w:br/>
      </w:r>
    </w:p>
    <w:p>
      <w:pPr>
        <w:jc w:val="center"/>
      </w:pPr>
      <w:r>
        <w:rPr>
          <w:rFonts w:ascii="Times New Roman" w:hAnsi="Times New Roman"/>
          <w:sz w:val="22"/>
        </w:rPr>
        <w:t>隐藏状态：h_t = o_t * tanh(C_t)</w:t>
      </w:r>
    </w:p>
    <w:p>
      <w:r>
        <w:t>其中，σ是sigmoid激活函数，tanh是双曲正切激活函数，·表示矩阵乘法，*表示逐元素乘法。</w:t>
      </w:r>
    </w:p>
    <w:p>
      <w:r>
        <w:t>在本系统中，堆叠了两层LSTM网络。第一层LSTM有128个隐藏单元，第二层有64个隐藏单元。LSTM层接收CNN层提取的特征作为输入，学习时间序列的长期依赖关系，捕捉价格的趋势和周期性。</w:t>
      </w:r>
    </w:p>
    <w:p>
      <w:pPr>
        <w:pStyle w:val="Heading3"/>
      </w:pPr>
      <w:r>
        <w:rPr>
          <w:rFonts w:ascii="黑体" w:hAnsi="黑体" w:eastAsia="黑体"/>
          <w:b/>
          <w:sz w:val="24"/>
        </w:rPr>
        <w:t>4.2.3  Attention机制</w:t>
      </w:r>
    </w:p>
    <w:p>
      <w:r>
        <w:t>Attention（注意力）机制最初在机器翻译任务中提出，用于解决编码器-解码器模型中的信息瓶颈问题。其核心思想是让模型自动学习输入序列中不同部分的重要性，对重要的部分给予更多关注[16]。</w:t>
      </w:r>
    </w:p>
    <w:p>
      <w:r>
        <w:t>在时间序列预测中，不同时间步对预测结果的贡献是不同的。Attention机制能够自动识别对预测最关键的时间步，为其分配更大的权重。Attention的计算过程如下：</w:t>
      </w:r>
    </w:p>
    <w:p>
      <w:r>
        <w:t>（1）计算注意力分数：score_i = V^T · tanh(W · h_i)</w:t>
      </w:r>
    </w:p>
    <w:p>
      <w:r>
        <w:t>（2）归一化得到注意力权重：α_i = exp(score_i) / Σ_j exp(score_j)</w:t>
      </w:r>
    </w:p>
    <w:p>
      <w:r>
        <w:t>（3）加权求和得到上下文向量：c = Σ_i α_i · h_i</w:t>
      </w:r>
    </w:p>
    <w:p>
      <w:r>
        <w:t>其中，h_i是第i个时间步的隐藏状态，W和V是可学习参数，α_i是注意力权重，c是最终的上下文向量。注意力权重α_i反映了第i个时间步的重要性。</w:t>
      </w:r>
    </w:p>
    <w:p>
      <w:r>
        <w:t>在本系统中，Attention层位于LSTM层之后。它接收LSTM的输出序列，计算每个时间步的注意力权重，生成加权的特征表示。这使得模型能够专注于对风险预测最重要的历史时刻，提高预测准确性。同时，通过可视化注意力权重，可以增强模型的可解释性，让用户理解模型的决策依据。</w:t>
      </w:r>
    </w:p>
    <w:p>
      <w:pPr>
        <w:pStyle w:val="Heading2"/>
      </w:pPr>
      <w:r>
        <w:rPr>
          <w:rFonts w:ascii="黑体" w:hAnsi="黑体" w:eastAsia="黑体"/>
          <w:b/>
          <w:sz w:val="28"/>
        </w:rPr>
        <w:t>4.3  特征工程</w:t>
      </w:r>
    </w:p>
    <w:p>
      <w:r>
        <w:t>特征工程是机器学习中至关重要的环节，高质量的特征能够显著提升模型性能。在金融时间序列预测中，需要根据领域知识构建有效的技术指标。本系统计算了以下17项特征：</w:t>
      </w:r>
    </w:p>
    <w:p>
      <w:r>
        <w:t>（1）价格类特征：开盘价（open）、收盘价（close）、最高价（high）、最低价（low）。这是最基础的行情数据，反映了市场的供需关系和交易情况。</w:t>
      </w:r>
    </w:p>
    <w:p>
      <w:r>
        <w:t>（2）移动平均线（MA）：MA5是5日移动平均线，MA20是20日移动平均线。移动平均线能够平滑价格波动，反映趋势方向。当短期均线上穿长期均线时，称为"金叉"，是买入信号；反之称为"死叉"，是卖出信号。</w:t>
      </w:r>
    </w:p>
    <w:p>
      <w:r>
        <w:t>（3）波动率（Volatility）：使用20日收盘价的标准差衡量。波动率越大，价格波动越剧烈，风险越高。</w:t>
      </w:r>
    </w:p>
    <w:p>
      <w:r>
        <w:t>（4）收益率（Return）：日收益率定义为(close_t - close_(t-1)) / close_(t-1)。反映了价格的相对变化幅度。</w:t>
      </w:r>
    </w:p>
    <w:p>
      <w:r>
        <w:t>（5）MACD指标：MACD（Moving Average Convergence Divergence）是趋势追踪指标。DIFF线是短期EMA与长期EMA的差值，DEA线是DIFF的平滑值，HIST是两者之差的柱状图。MACD金叉（DIFF上穿DEA）预示上涨，死叉预示下跌。</w:t>
      </w:r>
    </w:p>
    <w:p>
      <w:r>
        <w:t>（6）KDJ指标：KDJ是随机指标，由K值、D值、J值组成。K值和D值在0-100之间波动，当K值&gt;80时为超买，&lt;20时为超卖；J值可以超出这个范围，反应更敏感。KDJ金叉是买入信号，死叉是卖出信号。</w:t>
      </w:r>
    </w:p>
    <w:p>
      <w:r>
        <w:t>（7）RSI指标：RSI（Relative Strength Index）是相对强弱指标，衡量价格上涨动力的强弱。RSI&gt;70为超买区，&lt;30为超卖区。RSI能够反映市场的超买超卖状态，辅助判断反转点。</w:t>
      </w:r>
    </w:p>
    <w:p>
      <w:r>
        <w:t>（8）布林带（BOLL）：布林带由上轨、中轨（MA20）、下轨组成。上轨=MA20+2×标准差，下轨=MA20-2×标准差。价格突破上轨可能回调，跌破下轨可能反弹。布林带收窄预示波动即将加大。</w:t>
      </w:r>
    </w:p>
    <w:p>
      <w:r>
        <w:t>这些技术指标从不同角度刻画了市场特征，包括趋势、动量、波动性、超买超卖等方面，为模型提供了丰富的信息。特征计算完成后，使用StandardScaler进行标准化，将不同量纲的特征映射到相同的数值范围，避免某些特征主导模型训练。</w:t>
      </w:r>
    </w:p>
    <w:p>
      <w:pPr>
        <w:pStyle w:val="Heading2"/>
      </w:pPr>
      <w:r>
        <w:rPr>
          <w:rFonts w:ascii="黑体" w:hAnsi="黑体" w:eastAsia="黑体"/>
          <w:b/>
          <w:sz w:val="28"/>
        </w:rPr>
        <w:t>4.4  模型训练策略</w:t>
      </w:r>
    </w:p>
    <w:p>
      <w:r>
        <w:t>为了训练出性能优良的模型，本系统采用了以下训练策略：</w:t>
      </w:r>
    </w:p>
    <w:p>
      <w:r>
        <w:t>（1）时间窗口构建：将历史数据划分为固定长度的时间窗口。本系统使用30日窗口，即用过去30天的数据预测第31天的风险。窗口滑动构建样本，增加训练数据量。</w:t>
      </w:r>
    </w:p>
    <w:p>
      <w:r>
        <w:t>（2）数据集划分：将总样本按8:2的比例划分为训练集和测试集。训练集用于模型参数学习，测试集用于评估模型泛化能力。在训练过程中，从训练集中划分出10%作为验证集，用于监控训练过程和早停判断。</w:t>
      </w:r>
    </w:p>
    <w:p>
      <w:r>
        <w:t>（3）类别权重平衡：在金融风险预测任务中，风险事件（大跌）是少数类，正常情况是多数类，存在类别不平衡问题。如果不加处理，模型会倾向于预测多数类，导致风险事件识别率低。为了解决这个问题，在训练时为少数类样本赋予更大的权重，公式为weight = N_total / N_risk，强制模型重视风险样本。</w:t>
      </w:r>
    </w:p>
    <w:p>
      <w:r>
        <w:t>（4）早停机制（Early Stopping）：在训练过程中监控验证集上的损失函数。如果连续10个epoch验证损失不再下降，则停止训练，防止过拟合。同时恢复损失最小时的模型参数，作为最终模型。</w:t>
      </w:r>
    </w:p>
    <w:p>
      <w:r>
        <w:t>（5）最优模型检查点（Model Checkpoint）：在训练过程中保存验证集准确率最高的模型，确保选取性能最优的模型用于预测。</w:t>
      </w:r>
    </w:p>
    <w:p>
      <w:r>
        <w:t>（6）Dropout正则化：在全连接层使用50%的Dropout，随机丢弃一半的神经元，防止模型过度依赖某些特征，提高泛化能力。</w:t>
      </w:r>
    </w:p>
    <w:p>
      <w:r>
        <w:t>（7）优化器和损失函数：使用Adam优化器，它结合了动量法和自适应学习率的优点，收敛速度快且稳定。损失函数使用二元交叉熵（Binary Crossentropy），适合二分类任务。</w:t>
      </w:r>
    </w:p>
    <w:p>
      <w:r>
        <w:t>通过这些训练策略的综合运用，模型在测试集上达到了85%以上的准确率和80%以上的风险识别率，满足实际应用需求。</w:t>
      </w:r>
    </w:p>
    <w:p>
      <w:r>
        <w:br w:type="page"/>
      </w:r>
    </w:p>
    <w:p>
      <w:pPr>
        <w:pStyle w:val="Heading1"/>
      </w:pPr>
      <w:r>
        <w:rPr>
          <w:rFonts w:ascii="黑体" w:hAnsi="黑体" w:eastAsia="黑体"/>
          <w:b/>
          <w:sz w:val="32"/>
        </w:rPr>
        <w:t>第五章  系统详细设计与实现</w:t>
      </w:r>
    </w:p>
    <w:p>
      <w:pPr>
        <w:pStyle w:val="Heading2"/>
      </w:pPr>
      <w:r>
        <w:rPr>
          <w:rFonts w:ascii="黑体" w:hAnsi="黑体" w:eastAsia="黑体"/>
          <w:b/>
          <w:sz w:val="28"/>
        </w:rPr>
        <w:t>5.1  数据采集模块</w:t>
      </w:r>
    </w:p>
    <w:p>
      <w:r>
        <w:t>数据采集模块负责从akshare接口获取股票和黄金市场的历史数据。主要功能包括：</w:t>
      </w:r>
    </w:p>
    <w:p>
      <w:r>
        <w:t>（1）股票数据下载：调用ak.stock_zh_index_daily(symbol)函数，获取指定指数的日K线数据。支持沪深300（sh000300）、上证指数（sh000001）、深证成指（sz399001）、创业板指（sz399006）等。</w:t>
      </w:r>
    </w:p>
    <w:p>
      <w:r>
        <w:t>（2）黄金数据下载：调用ak.spot_golden_benchmark_sge()函数，获取上海黄金交易所AU9999的基准价格数据，包括早盘价、晚盘价等。</w:t>
      </w:r>
    </w:p>
    <w:p>
      <w:r>
        <w:t>（3）数据保存：将下载的数据以CSV格式保存到data目录，便于后续处理和分析。CSV格式具有良好的可读性和兼容性，可以使用Excel、Pandas等工具打开。</w:t>
      </w:r>
    </w:p>
    <w:p>
      <w:r>
        <w:t>（4）异常处理：如果网络请求失败或数据格式异常，模块会捕获异常并给出友好的错误提示，避免程序崩溃。</w:t>
      </w:r>
    </w:p>
    <w:p>
      <w:r>
        <w:t>核心代码如下：</w:t>
      </w:r>
    </w:p>
    <w:p>
      <w:r>
        <w:rPr>
          <w:rFonts w:ascii="Consolas" w:hAnsi="Consolas"/>
          <w:sz w:val="20"/>
        </w:rPr>
        <w:br/>
        <w:t>import akshare as ak</w:t>
        <w:br/>
        <w:t>import pandas as pd</w:t>
        <w:br/>
        <w:br/>
        <w:t>def download_stock_data(symbol="sh000300"):</w:t>
        <w:br/>
        <w:t xml:space="preserve">    """下载股票数据"""</w:t>
        <w:br/>
        <w:t xml:space="preserve">    stock_data = ak.stock_zh_index_daily(symbol=symbol)</w:t>
        <w:br/>
        <w:t xml:space="preserve">    stock_data.to_csv('data/沪深300数据.csv', index=False)</w:t>
        <w:br/>
        <w:t xml:space="preserve">    print(f"股票数据下载完成，共{len(stock_data)}条记录")</w:t>
        <w:br/>
        <w:br/>
        <w:t>def download_gold_data():</w:t>
        <w:br/>
        <w:t xml:space="preserve">    """下载黄金数据"""</w:t>
        <w:br/>
        <w:t xml:space="preserve">    gold_data = ak.spot_golden_benchmark_sge()</w:t>
        <w:br/>
        <w:t xml:space="preserve">    gold_data.to_csv('data/黄金数据.csv', index=False)</w:t>
        <w:br/>
        <w:t xml:space="preserve">    print(f"黄金数据下载完成，共{len(gold_data)}条记录")</w:t>
        <w:br/>
      </w:r>
    </w:p>
    <w:p>
      <w:pPr>
        <w:pStyle w:val="Heading2"/>
      </w:pPr>
      <w:r>
        <w:rPr>
          <w:rFonts w:ascii="黑体" w:hAnsi="黑体" w:eastAsia="黑体"/>
          <w:b/>
          <w:sz w:val="28"/>
        </w:rPr>
        <w:t>5.2  数据处理模块</w:t>
      </w:r>
    </w:p>
    <w:p>
      <w:r>
        <w:t>数据处理模块是系统的核心之一，负责将原始数据转换为模型可用的特征向量。主要步骤包括：</w:t>
      </w:r>
    </w:p>
    <w:p>
      <w:r>
        <w:t>（1）数据清洗：检查并处理缺失值，使用前向填充或删除缺失行的方法；检测异常值，使用IQR（四分位距）方法识别并处理离群点。</w:t>
      </w:r>
    </w:p>
    <w:p>
      <w:r>
        <w:t>（2）特征计算：实现MACD、KDJ、RSI、布林带等技术指标的计算函数；使用Pandas的rolling、ewm等方法进行滑动窗口计算。</w:t>
      </w:r>
    </w:p>
    <w:p>
      <w:r>
        <w:t>（3）标签构建：定义风险事件为次日跌幅&gt;1.5%；计算次日收益率next_day_return = (close_t+1 - close_t) / close_t；构建二分类标签label，当next_day_return &lt; -0.015时label=1（风险），否则label=0（安全）。</w:t>
      </w:r>
    </w:p>
    <w:p>
      <w:r>
        <w:t>（4）数据标准化：使用scikit-learn的StandardScaler进行Z-score标准化，将特征映射到均值为0、标准差为1的分布；保存标准化器，用于预测时对新数据进行一致的变换。</w:t>
      </w:r>
    </w:p>
    <w:p>
      <w:r>
        <w:t>以MACD指标计算为例，核心代码如下：</w:t>
      </w:r>
    </w:p>
    <w:p>
      <w:r>
        <w:rPr>
          <w:rFonts w:ascii="Consolas" w:hAnsi="Consolas"/>
          <w:sz w:val="20"/>
        </w:rPr>
        <w:br/>
        <w:t>def calculate_macd(data, close_col, fast_period=12, slow_period=26, signal_period=9):</w:t>
        <w:br/>
        <w:t xml:space="preserve">    """计算MACD指标"""</w:t>
        <w:br/>
        <w:t xml:space="preserve">    # 计算短期EMA</w:t>
        <w:br/>
        <w:t xml:space="preserve">    data['EMA12'] = data[close_col].ewm(span=fast_period, adjust=False).mean()</w:t>
        <w:br/>
        <w:t xml:space="preserve">    # 计算长期EMA</w:t>
        <w:br/>
        <w:t xml:space="preserve">    data['EMA26'] = data[close_col].ewm(span=slow_period, adjust=False).mean()</w:t>
        <w:br/>
        <w:t xml:space="preserve">    # 计算DIFF</w:t>
        <w:br/>
        <w:t xml:space="preserve">    data['MACD_diff'] = data['EMA12'] - data['EMA26']</w:t>
        <w:br/>
        <w:t xml:space="preserve">    # 计算DEA</w:t>
        <w:br/>
        <w:t xml:space="preserve">    data['MACD_dea'] = data['MACD_diff'].ewm(span=signal_period, adjust=False).mean()</w:t>
        <w:br/>
        <w:t xml:space="preserve">    # 计算MACD柱状图</w:t>
        <w:br/>
        <w:t xml:space="preserve">    data['MACD_hist'] = 2 * (data['MACD_diff'] - data['MACD_dea'])</w:t>
        <w:br/>
        <w:t xml:space="preserve">    return data</w:t>
        <w:br/>
      </w:r>
    </w:p>
    <w:p>
      <w:pPr>
        <w:pStyle w:val="Heading2"/>
      </w:pPr>
      <w:r>
        <w:rPr>
          <w:rFonts w:ascii="黑体" w:hAnsi="黑体" w:eastAsia="黑体"/>
          <w:b/>
          <w:sz w:val="28"/>
        </w:rPr>
        <w:t>5.3  模型训练模块</w:t>
      </w:r>
    </w:p>
    <w:p>
      <w:r>
        <w:t>模型训练模块实现了从数据加载到模型保存的完整流程。主要步骤包括：</w:t>
      </w:r>
    </w:p>
    <w:p>
      <w:r>
        <w:t>（1）数据加载：读取处理后的CSV文件，提取特征列和标签列。</w:t>
      </w:r>
    </w:p>
    <w:p>
      <w:r>
        <w:t>（2）时间窗口构建：定义窗口大小为30，遍历数据构建样本；每个样本X是30×17的矩阵，对应标签y是一个标量（0或1）。</w:t>
      </w:r>
    </w:p>
    <w:p>
      <w:r>
        <w:t>（3）数据集划分：使用train_test_split函数，按8:2划分训练集和测试集，设置random_state=42保证可复现性。</w:t>
      </w:r>
    </w:p>
    <w:p>
      <w:r>
        <w:t>（4）模型创建：调用model.py中定义的create_stock_model()等函数，构建神经网络模型。</w:t>
      </w:r>
    </w:p>
    <w:p>
      <w:r>
        <w:t>（5）模型编译：设置优化器为Adam，损失函数为binary_crossentropy，评估指标为accuracy。</w:t>
      </w:r>
    </w:p>
    <w:p>
      <w:r>
        <w:t>（6）模型训练：调用model.fit()方法开始训练，设置epochs=100，batch_size=32，validation_split=0.1；使用callbacks参数传入早停和检查点对象。</w:t>
      </w:r>
    </w:p>
    <w:p>
      <w:r>
        <w:t>（7）模型评估：在测试集上使用model.predict()得到预测结果，计算准确率、精确率、召回率、F1分数和混淆矩阵。</w:t>
      </w:r>
    </w:p>
    <w:p>
      <w:r>
        <w:t>（8）模型保存：将最优模型保存为.h5文件，用于后续预测。</w:t>
      </w:r>
    </w:p>
    <w:p>
      <w:r>
        <w:t>模型训练的核心代码如下：</w:t>
      </w:r>
    </w:p>
    <w:p>
      <w:r>
        <w:rPr>
          <w:rFonts w:ascii="Consolas" w:hAnsi="Consolas"/>
          <w:sz w:val="20"/>
        </w:rPr>
        <w:br/>
        <w:t>from tensorflow.keras.callbacks import EarlyStopping, ModelCheckpoint</w:t>
        <w:br/>
        <w:br/>
        <w:t># 早停机制</w:t>
        <w:br/>
        <w:t>early_stopping = EarlyStopping(monitor='val_loss', patience=10, restore_best_weights=True)</w:t>
        <w:br/>
        <w:br/>
        <w:t># 保存最优模型</w:t>
        <w:br/>
        <w:t xml:space="preserve">checkpoint = ModelCheckpoint('models/best_stock_model.h5', monitor='val_accuracy', </w:t>
        <w:br/>
        <w:t xml:space="preserve">                             save_best_only=True, mode='max')</w:t>
        <w:br/>
        <w:br/>
        <w:t># 训练模型</w:t>
        <w:br/>
        <w:t xml:space="preserve">history = model.fit(X_train, y_train, </w:t>
        <w:br/>
        <w:t xml:space="preserve">                    epochs=100, </w:t>
        <w:br/>
        <w:t xml:space="preserve">                    batch_size=32, </w:t>
        <w:br/>
        <w:t xml:space="preserve">                    validation_split=0.1, </w:t>
        <w:br/>
        <w:t xml:space="preserve">                    class_weight=class_weights,</w:t>
        <w:br/>
        <w:t xml:space="preserve">                    callbacks=[early_stopping, checkpoint])</w:t>
        <w:br/>
      </w:r>
    </w:p>
    <w:p>
      <w:pPr>
        <w:pStyle w:val="Heading2"/>
      </w:pPr>
      <w:r>
        <w:rPr>
          <w:rFonts w:ascii="黑体" w:hAnsi="黑体" w:eastAsia="黑体"/>
          <w:b/>
          <w:sz w:val="28"/>
        </w:rPr>
        <w:t>5.4  预测模块</w:t>
      </w:r>
    </w:p>
    <w:p>
      <w:r>
        <w:t>预测模块提供了实时风险预测功能。主要流程包括：</w:t>
      </w:r>
    </w:p>
    <w:p>
      <w:r>
        <w:t>（1）模型加载：使用tensorflow.keras.models.load_model()加载训练好的模型文件；使用joblib.load()加载标准化器。</w:t>
      </w:r>
    </w:p>
    <w:p>
      <w:r>
        <w:t>（2）最新数据获取：调用akshare接口，下载最近90天的数据（保留足够的历史数据用于计算技术指标）；执行与训练时相同的数据处理流程，计算17项特征。</w:t>
      </w:r>
    </w:p>
    <w:p>
      <w:r>
        <w:t>（3）特征标准化：提取最后30天的特征数据，使用保存的标准化器进行变换，确保与训练时的数据分布一致。</w:t>
      </w:r>
    </w:p>
    <w:p>
      <w:r>
        <w:t>（4）模型推理：将标准化后的数据reshape为(1, 30, 17)的形状（批次大小为1）；调用model.predict()得到风险概率；根据阈值0.5判断预测结果（&gt;0.5为风险，否则为安全）。</w:t>
      </w:r>
    </w:p>
    <w:p>
      <w:r>
        <w:t>（5）原因分析：分析最新的价格趋势、均线位置、波动率等因素；根据技术指标的数值给出解释性的文字说明；生成投资建议。</w:t>
      </w:r>
    </w:p>
    <w:p>
      <w:r>
        <w:t>（6）结果返回：将风险概率、预测结论、投资建议和原因分析封装为字典返回，供界面展示。</w:t>
      </w:r>
    </w:p>
    <w:p>
      <w:r>
        <w:t>预测函数的核心代码如下：</w:t>
      </w:r>
    </w:p>
    <w:p>
      <w:r>
        <w:rPr>
          <w:rFonts w:ascii="Consolas" w:hAnsi="Consolas"/>
          <w:sz w:val="20"/>
        </w:rPr>
        <w:br/>
        <w:t>def predict_stock_risk(stock_symbol="sh000300"):</w:t>
        <w:br/>
        <w:t xml:space="preserve">    # 加载模型和标准化器</w:t>
        <w:br/>
        <w:t xml:space="preserve">    model = load_model('models/best_stock_model.h5')</w:t>
        <w:br/>
        <w:t xml:space="preserve">    scaler = joblib.load('models/stock_scaler.pkl')</w:t>
        <w:br/>
        <w:t xml:space="preserve">    </w:t>
        <w:br/>
        <w:t xml:space="preserve">    # 获取最新数据并处理</w:t>
        <w:br/>
        <w:t xml:space="preserve">    data = load_latest_stock_data(stock_symbol)</w:t>
        <w:br/>
        <w:t xml:space="preserve">    </w:t>
        <w:br/>
        <w:t xml:space="preserve">    # 提取最后30天数据</w:t>
        <w:br/>
        <w:t xml:space="preserve">    latest_window = data[features].tail(30).values</w:t>
        <w:br/>
        <w:t xml:space="preserve">    latest_window_scaled = scaler.transform(latest_window)</w:t>
        <w:br/>
        <w:t xml:space="preserve">    latest_window_scaled = latest_window_scaled.reshape(1, 30, 17)</w:t>
        <w:br/>
        <w:t xml:space="preserve">    </w:t>
        <w:br/>
        <w:t xml:space="preserve">    # 预测</w:t>
        <w:br/>
        <w:t xml:space="preserve">    risk_prob = model.predict(latest_window_scaled)[0][0]</w:t>
        <w:br/>
        <w:t xml:space="preserve">    risk_prediction = 1 if risk_prob &gt; 0.5 else 0</w:t>
        <w:br/>
        <w:t xml:space="preserve">    </w:t>
        <w:br/>
        <w:t xml:space="preserve">    # 分析原因并生成建议</w:t>
        <w:br/>
        <w:t xml:space="preserve">    reasons = analyze_prediction(data, risk_prob, data_type="股票")</w:t>
        <w:br/>
        <w:t xml:space="preserve">    suggestion = "建议..." if risk_prediction == 1 else "建议..."</w:t>
        <w:br/>
        <w:t xml:space="preserve">    </w:t>
        <w:br/>
        <w:t xml:space="preserve">    return {</w:t>
        <w:br/>
        <w:t xml:space="preserve">        'risk_prob': risk_prob,</w:t>
        <w:br/>
        <w:t xml:space="preserve">        'risk_prediction': risk_prediction,</w:t>
        <w:br/>
        <w:t xml:space="preserve">        'suggestion': suggestion,</w:t>
        <w:br/>
        <w:t xml:space="preserve">        'reasons': reasons</w:t>
        <w:br/>
        <w:t xml:space="preserve">    }</w:t>
        <w:br/>
      </w:r>
    </w:p>
    <w:p>
      <w:pPr>
        <w:pStyle w:val="Heading2"/>
      </w:pPr>
      <w:r>
        <w:rPr>
          <w:rFonts w:ascii="黑体" w:hAnsi="黑体" w:eastAsia="黑体"/>
          <w:b/>
          <w:sz w:val="28"/>
        </w:rPr>
        <w:t>5.5  可视化界面</w:t>
      </w:r>
    </w:p>
    <w:p>
      <w:r>
        <w:t>可视化界面是用户与系统交互的窗口，基于Streamlit框架开发。界面设计遵循简洁、直观的原则，主要功能模块包括：</w:t>
      </w:r>
    </w:p>
    <w:p>
      <w:r>
        <w:t>（1）页面配置：设置页面标题为"A股风险预测系统"，图标为📈；使用宽屏布局（layout="wide"），充分利用屏幕空间。</w:t>
      </w:r>
    </w:p>
    <w:p>
      <w:r>
        <w:t>（2）侧边栏：提供数据类型选择器（股票/黄金）；当选择股票时，显示指数选择器（沪深300/上证/深证/创业板）；用户选择决定后续预测使用的数据源。</w:t>
      </w:r>
    </w:p>
    <w:p>
      <w:r>
        <w:t>（3）模型操作区：提供"一键加载模型"按钮，加载训练好的模型和标准化器；提供"开始风险预测"按钮，触发预测流程；使用st.spinner显示加载动画，提示用户等待。</w:t>
      </w:r>
    </w:p>
    <w:p>
      <w:r>
        <w:t>（4）预测结果展示：使用st.metric组件展示风险概率，醒目直观；根据预测结论使用st.success（绿色）或st.error（红色）显示；使用st.info组件显示投资建议；使用Markdown列表显示原因分析。</w:t>
      </w:r>
    </w:p>
    <w:p>
      <w:r>
        <w:t>（5）数据可视化区：提供"加载历史走势数据"按钮，下载最近60日数据；使用Plotly绘制折线图，展示价格走势和移动平均线；图表支持缩放、平移、悬停显示详情等交互操作；使用st.dataframe展示数据表格，用户可以查看具体数值。</w:t>
      </w:r>
    </w:p>
    <w:p>
      <w:r>
        <w:t>（6）底部说明：显示免责声明："本系统仅供学习参考，不构成投资建议"；标注数据来源："数据来源：akshare"。</w:t>
      </w:r>
    </w:p>
    <w:p>
      <w:r>
        <w:t>Streamlit的优势在于，只需编写Python代码即可生成Web界面，无需编写HTML、CSS、JavaScript。它提供了丰富的组件（按钮、选择器、图表等），能够快速构建功能完善的应用。同时，Streamlit支持实时更新，代码修改后界面会自动刷新，极大地提高了开发效率。</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ind w:firstLine="72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