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用例分析表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4176"/>
        <w:gridCol w:w="4176"/>
      </w:tblGrid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用例编号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用例1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用例2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查看股票风险预测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查看历史数据走势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系统已训练好股票预测模型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基本流程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 投资者访问系统首页</w:t>
              <w:br/>
              <w:t>2. 在侧边栏选择"股票"数据类型</w:t>
              <w:br/>
              <w:t>3. 选择具体指数（如沪深300）</w:t>
              <w:br/>
              <w:t>4. 点击"一键加载模型"按钮</w:t>
              <w:br/>
              <w:t>5. 系统加载训练好的模型和标准化器</w:t>
              <w:br/>
              <w:t>6. 点击"开始风险预测"按钮</w:t>
              <w:br/>
              <w:t>7. 系统获取最新30日数据并预测</w:t>
              <w:br/>
              <w:t>8. 显示风险概率、预测结论和投资建议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 投资者选择要查看的数据类型</w:t>
              <w:br/>
              <w:t>2. 点击"加载历史走势数据"按钮</w:t>
              <w:br/>
              <w:t>3. 系统从akshare获取最近60日数据</w:t>
              <w:br/>
              <w:t>4. 计算移动平均线等技术指标</w:t>
              <w:br/>
              <w:t>5. 绘制交互式价格走势图</w:t>
              <w:br/>
              <w:t>6. 以表格形式展示最近10日详细数据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投资者了解当前市场风险状况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投资者了解历史价格变化趋势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