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0CC" w:rsidRPr="00E460CC" w:rsidRDefault="00E460CC" w:rsidP="00E460CC">
      <w:pPr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E460CC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Elle agit sur plusieurs plans :</w:t>
      </w:r>
      <w:r w:rsidRPr="00E460CC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br/>
      </w:r>
    </w:p>
    <w:p w:rsidR="00E460CC" w:rsidRPr="00E460CC" w:rsidRDefault="00E460CC" w:rsidP="00E460C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960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E460CC">
        <w:rPr>
          <w:rFonts w:ascii="Arial" w:eastAsia="Times New Roman" w:hAnsi="Arial" w:cs="Arial"/>
          <w:b/>
          <w:bCs/>
          <w:color w:val="000000"/>
          <w:kern w:val="0"/>
          <w:bdr w:val="single" w:sz="2" w:space="0" w:color="E5E7EB" w:frame="1"/>
          <w:lang w:eastAsia="fr-FR"/>
          <w14:ligatures w14:val="none"/>
        </w:rPr>
        <w:t>Activation de l’autorégulation</w:t>
      </w:r>
      <w:r w:rsidRPr="00E460CC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formuler une intention explicite engage le système motivationnel et cognitif (théorie de l’intention de Gollwitzer, 1999). Elle renforce la clarté des buts et mobilise les ressources attentionnelles nécessaires à leur atteinte.</w:t>
      </w:r>
    </w:p>
    <w:p w:rsidR="00E460CC" w:rsidRPr="00E460CC" w:rsidRDefault="00E460CC" w:rsidP="00E460C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960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E460CC">
        <w:rPr>
          <w:rFonts w:ascii="Arial" w:eastAsia="Times New Roman" w:hAnsi="Arial" w:cs="Arial"/>
          <w:b/>
          <w:bCs/>
          <w:color w:val="000000"/>
          <w:kern w:val="0"/>
          <w:bdr w:val="single" w:sz="2" w:space="0" w:color="E5E7EB" w:frame="1"/>
          <w:lang w:eastAsia="fr-FR"/>
          <w14:ligatures w14:val="none"/>
        </w:rPr>
        <w:t>Principe de cohérence cognitive</w:t>
      </w:r>
      <w:r w:rsidRPr="00E460CC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(Festinger, 1957) : une fois qu’une personne a déclaré devant autrui ou par écrit un engagement, elle tend à aligner ses comportements sur cette déclaration pour maintenir la cohérence entre ses paroles et ses actes.</w:t>
      </w:r>
    </w:p>
    <w:p w:rsidR="00E460CC" w:rsidRPr="00E460CC" w:rsidRDefault="00E460CC" w:rsidP="00E460C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960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E460CC">
        <w:rPr>
          <w:rFonts w:ascii="Arial" w:eastAsia="Times New Roman" w:hAnsi="Arial" w:cs="Arial"/>
          <w:b/>
          <w:bCs/>
          <w:color w:val="000000"/>
          <w:kern w:val="0"/>
          <w:bdr w:val="single" w:sz="2" w:space="0" w:color="E5E7EB" w:frame="1"/>
          <w:lang w:eastAsia="fr-FR"/>
          <w14:ligatures w14:val="none"/>
        </w:rPr>
        <w:t>Renforcement de l’identité agentique</w:t>
      </w:r>
      <w:r w:rsidRPr="00E460CC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dire “je m’engage à…” transforme le sujet en </w:t>
      </w:r>
      <w:r w:rsidRPr="00E460CC">
        <w:rPr>
          <w:rFonts w:ascii="Arial" w:eastAsia="Times New Roman" w:hAnsi="Arial" w:cs="Arial"/>
          <w:b/>
          <w:bCs/>
          <w:color w:val="000000"/>
          <w:kern w:val="0"/>
          <w:bdr w:val="single" w:sz="2" w:space="0" w:color="E5E7EB" w:frame="1"/>
          <w:lang w:eastAsia="fr-FR"/>
          <w14:ligatures w14:val="none"/>
        </w:rPr>
        <w:t>acteur</w:t>
      </w:r>
      <w:r w:rsidRPr="00E460CC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de son changement, favorisant un sentiment d’</w:t>
      </w:r>
      <w:r w:rsidRPr="00E460CC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auto efficacité</w:t>
      </w:r>
      <w:r w:rsidRPr="00E460CC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(Bandura, 1997) et de responsabilité personnelle.</w:t>
      </w:r>
    </w:p>
    <w:p w:rsidR="00E460CC" w:rsidRPr="00E460CC" w:rsidRDefault="00E460CC" w:rsidP="00E460C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960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E460CC">
        <w:rPr>
          <w:rFonts w:ascii="Arial" w:eastAsia="Times New Roman" w:hAnsi="Arial" w:cs="Arial"/>
          <w:b/>
          <w:bCs/>
          <w:color w:val="000000"/>
          <w:kern w:val="0"/>
          <w:bdr w:val="single" w:sz="2" w:space="0" w:color="E5E7EB" w:frame="1"/>
          <w:lang w:eastAsia="fr-FR"/>
          <w14:ligatures w14:val="none"/>
        </w:rPr>
        <w:t>Effet performatif du langage</w:t>
      </w:r>
      <w:r w:rsidRPr="00E460CC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la parole n’est pas seulement descriptive, elle est </w:t>
      </w:r>
      <w:r w:rsidRPr="00E460CC">
        <w:rPr>
          <w:rFonts w:ascii="Arial" w:eastAsia="Times New Roman" w:hAnsi="Arial" w:cs="Arial"/>
          <w:b/>
          <w:bCs/>
          <w:color w:val="000000"/>
          <w:kern w:val="0"/>
          <w:bdr w:val="single" w:sz="2" w:space="0" w:color="E5E7EB" w:frame="1"/>
          <w:lang w:eastAsia="fr-FR"/>
          <w14:ligatures w14:val="none"/>
        </w:rPr>
        <w:t>créatrice</w:t>
      </w:r>
      <w:r w:rsidRPr="00E460CC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(Austin, 1962).</w:t>
      </w:r>
    </w:p>
    <w:p w:rsidR="00E460CC" w:rsidRPr="00E460CC" w:rsidRDefault="00E460CC" w:rsidP="00E460CC">
      <w:pPr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E460CC">
        <w:rPr>
          <w:rFonts w:ascii="Arial" w:eastAsia="Times New Roman" w:hAnsi="Arial" w:cs="Arial"/>
          <w:b/>
          <w:bCs/>
          <w:color w:val="000000"/>
          <w:kern w:val="0"/>
          <w:bdr w:val="single" w:sz="2" w:space="0" w:color="E5E7EB" w:frame="1"/>
          <w:lang w:eastAsia="fr-FR"/>
          <w14:ligatures w14:val="none"/>
        </w:rPr>
        <w:t>Énoncer un engagement, c’est amorcer une transformation symbolique et psychologique de soi.</w:t>
      </w:r>
      <w:r w:rsidRPr="00E460CC">
        <w:rPr>
          <w:rFonts w:ascii="Arial" w:eastAsia="Times New Roman" w:hAnsi="Arial" w:cs="Arial"/>
          <w:b/>
          <w:bCs/>
          <w:color w:val="000000"/>
          <w:kern w:val="0"/>
          <w:bdr w:val="single" w:sz="2" w:space="0" w:color="E5E7EB" w:frame="1"/>
          <w:lang w:eastAsia="fr-FR"/>
          <w14:ligatures w14:val="none"/>
        </w:rPr>
        <w:br/>
      </w:r>
    </w:p>
    <w:p w:rsidR="00E460CC" w:rsidRPr="00E460CC" w:rsidRDefault="00E460CC" w:rsidP="00E460CC">
      <w:pPr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E460CC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 accompagnement, cette pratique structure la motivation, consolide l’alliance avec le professionnel, et marque un passage du désir de changement à une intention d’action consciente et incarnée.</w:t>
      </w:r>
      <w:r w:rsidRPr="00E460CC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br/>
      </w:r>
      <w:r w:rsidRPr="00E460CC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br/>
        <w:t>Je vous propose ci-après un modèle, chaque partenaire du couple rédige la sienne.</w:t>
      </w:r>
    </w:p>
    <w:p w:rsidR="008F349F" w:rsidRDefault="008F349F"/>
    <w:sectPr w:rsidR="008F34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54AEE"/>
    <w:multiLevelType w:val="multilevel"/>
    <w:tmpl w:val="EBCCA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40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CC"/>
    <w:rsid w:val="003D0BFB"/>
    <w:rsid w:val="005D3FDB"/>
    <w:rsid w:val="008B6EDB"/>
    <w:rsid w:val="008F349F"/>
    <w:rsid w:val="00E25A57"/>
    <w:rsid w:val="00E4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D6F5E5"/>
  <w15:chartTrackingRefBased/>
  <w15:docId w15:val="{DADAAF37-DDB2-DA49-AE63-0A399F637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6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6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6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6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6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60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60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60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60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6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6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6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60C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60C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60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60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60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60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60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6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60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6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60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60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60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60C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6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60C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60CC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E460CC"/>
    <w:rPr>
      <w:b/>
      <w:bCs/>
    </w:rPr>
  </w:style>
  <w:style w:type="character" w:customStyle="1" w:styleId="apple-converted-space">
    <w:name w:val="apple-converted-space"/>
    <w:basedOn w:val="Policepardfaut"/>
    <w:rsid w:val="00E46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2025-11-05T17:50:00Z</dcterms:created>
  <dcterms:modified xsi:type="dcterms:W3CDTF">2025-11-05T17:51:00Z</dcterms:modified>
</cp:coreProperties>
</file>