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ind w:left="-270" w:hanging="0"/>
        <w:jc w:val="both"/>
        <w:rPr>
          <w:rFonts w:cs="Arial"/>
          <w:b/>
          <w:b/>
          <w:sz w:val="19"/>
          <w:szCs w:val="19"/>
          <w:lang w:val="en-GB"/>
        </w:rPr>
      </w:pPr>
      <w:r>
        <w:rPr>
          <w:rFonts w:cs="Arial"/>
          <w:sz w:val="19"/>
          <w:szCs w:val="19"/>
          <w:lang w:val="en-GB"/>
        </w:rPr>
        <w:t xml:space="preserve">The Commercial Terms and Conditions (“Terms”), even if not specifically incorporated, will apply to the offer from Peak National General Trading &amp; Contracting Co. w.l.l. (hereafter referred as “PN”).  </w:t>
      </w:r>
    </w:p>
    <w:p>
      <w:pPr>
        <w:pStyle w:val="Heading1"/>
        <w:numPr>
          <w:ilvl w:val="0"/>
          <w:numId w:val="2"/>
        </w:numPr>
        <w:tabs>
          <w:tab w:val="left" w:pos="0" w:leader="none"/>
        </w:tabs>
        <w:spacing w:before="0" w:after="60"/>
        <w:ind w:left="1137" w:hanging="1411"/>
        <w:jc w:val="both"/>
        <w:rPr>
          <w:rFonts w:ascii="Palatino Linotype" w:hAnsi="Palatino Linotype"/>
          <w:sz w:val="19"/>
          <w:szCs w:val="19"/>
        </w:rPr>
      </w:pPr>
      <w:r>
        <w:rPr>
          <w:rFonts w:ascii="Palatino Linotype" w:hAnsi="Palatino Linotype"/>
          <w:sz w:val="19"/>
          <w:szCs w:val="19"/>
        </w:rPr>
        <w:t>PRICES</w:t>
      </w:r>
    </w:p>
    <w:p>
      <w:pPr>
        <w:pStyle w:val="Normal"/>
        <w:spacing w:before="0" w:after="120"/>
        <w:ind w:left="-270" w:hanging="0"/>
        <w:jc w:val="both"/>
        <w:rPr>
          <w:rFonts w:cs="Arial"/>
          <w:b/>
          <w:b/>
          <w:sz w:val="19"/>
          <w:szCs w:val="19"/>
          <w:lang w:val="en-GB"/>
        </w:rPr>
      </w:pPr>
      <w:r>
        <w:rPr>
          <w:rFonts w:eastAsia="Calibri"/>
          <w:color w:val="000000"/>
          <w:sz w:val="19"/>
          <w:szCs w:val="19"/>
        </w:rPr>
        <w:t xml:space="preserve">All prices pertaining to an offer are quoted by PN in subsequent addenda hereto. </w:t>
      </w:r>
    </w:p>
    <w:p>
      <w:pPr>
        <w:pStyle w:val="Normal"/>
        <w:ind w:left="180" w:hanging="450"/>
        <w:jc w:val="both"/>
        <w:rPr/>
      </w:pPr>
      <w:r>
        <w:rPr>
          <w:rFonts w:cs="Arial"/>
          <w:sz w:val="19"/>
          <w:szCs w:val="19"/>
        </w:rPr>
        <w:t>1.1</w:t>
        <w:tab/>
      </w:r>
      <w:r>
        <w:rPr>
          <w:rFonts w:cs="Arial"/>
          <w:b/>
          <w:sz w:val="19"/>
          <w:szCs w:val="19"/>
        </w:rPr>
        <w:t>Firm Quotation</w:t>
      </w:r>
      <w:r>
        <w:rPr>
          <w:rFonts w:cs="Arial"/>
          <w:sz w:val="19"/>
          <w:szCs w:val="19"/>
        </w:rPr>
        <w:t>: All quoted prices are {prices_type}. The prices offered are based on the complete scope mentioned in our quotation. In the case of order being split or partial order being placed, we reserve the right to adjust the unit prices.</w:t>
      </w:r>
    </w:p>
    <w:p>
      <w:pPr>
        <w:pStyle w:val="Normal"/>
        <w:ind w:left="180" w:hanging="450"/>
        <w:jc w:val="both"/>
        <w:rPr/>
      </w:pPr>
      <w:r>
        <w:rPr>
          <w:rFonts w:cs="Arial"/>
          <w:sz w:val="19"/>
          <w:szCs w:val="19"/>
        </w:rPr>
        <w:t>1.2</w:t>
        <w:tab/>
      </w:r>
      <w:r>
        <w:rPr>
          <w:rFonts w:cs="Arial"/>
          <w:b/>
          <w:sz w:val="19"/>
          <w:szCs w:val="19"/>
        </w:rPr>
        <w:t>Currency:</w:t>
      </w:r>
      <w:r>
        <w:rPr>
          <w:rFonts w:cs="Arial"/>
          <w:sz w:val="19"/>
          <w:szCs w:val="19"/>
        </w:rPr>
        <w:t xml:space="preserve"> The quoted price is based on the currency expressed in the Quotation, {prices_currency}. </w:t>
      </w:r>
    </w:p>
    <w:p>
      <w:pPr>
        <w:pStyle w:val="Normal"/>
        <w:ind w:left="180" w:hanging="450"/>
        <w:jc w:val="both"/>
        <w:rPr>
          <w:rFonts w:cs="Arial"/>
          <w:sz w:val="19"/>
          <w:szCs w:val="19"/>
        </w:rPr>
      </w:pPr>
      <w:r>
        <w:rPr>
          <w:rFonts w:cs="Arial"/>
          <w:sz w:val="19"/>
          <w:szCs w:val="19"/>
        </w:rPr>
        <w:t>1.3</w:t>
        <w:tab/>
      </w:r>
      <w:r>
        <w:rPr>
          <w:rFonts w:cs="Arial"/>
          <w:b/>
          <w:sz w:val="19"/>
          <w:szCs w:val="19"/>
        </w:rPr>
        <w:t>Errors:</w:t>
      </w:r>
      <w:r>
        <w:rPr>
          <w:rFonts w:cs="Arial"/>
          <w:sz w:val="19"/>
          <w:szCs w:val="19"/>
        </w:rPr>
        <w:t xml:space="preserve"> PN reserves the right to correct all typographical or clerical errors or omissions which may be present in its prices, scope of supply or specifications</w:t>
      </w:r>
    </w:p>
    <w:p>
      <w:pPr>
        <w:pStyle w:val="Heading1"/>
        <w:numPr>
          <w:ilvl w:val="0"/>
          <w:numId w:val="2"/>
        </w:numPr>
        <w:tabs>
          <w:tab w:val="left" w:pos="0" w:leader="none"/>
        </w:tabs>
        <w:spacing w:before="0" w:after="60"/>
        <w:ind w:left="1137" w:hanging="1411"/>
        <w:jc w:val="both"/>
        <w:rPr>
          <w:rFonts w:ascii="Palatino Linotype" w:hAnsi="Palatino Linotype"/>
          <w:sz w:val="19"/>
          <w:szCs w:val="19"/>
        </w:rPr>
      </w:pPr>
      <w:r>
        <w:rPr>
          <w:rFonts w:ascii="Palatino Linotype" w:hAnsi="Palatino Linotype"/>
          <w:sz w:val="19"/>
          <w:szCs w:val="19"/>
        </w:rPr>
        <w:t>CONTRACT COMMENCEMENT</w:t>
      </w:r>
    </w:p>
    <w:p>
      <w:pPr>
        <w:pStyle w:val="Normal"/>
        <w:tabs>
          <w:tab w:val="left" w:pos="630" w:leader="none"/>
        </w:tabs>
        <w:ind w:left="-274" w:hanging="0"/>
        <w:jc w:val="both"/>
        <w:rPr>
          <w:rFonts w:cs="Arial"/>
          <w:b/>
          <w:b/>
          <w:sz w:val="19"/>
          <w:szCs w:val="19"/>
          <w:lang w:val="en-GB"/>
        </w:rPr>
      </w:pPr>
      <w:r>
        <w:rPr>
          <w:rFonts w:eastAsia="Calibri"/>
          <w:color w:val="000000"/>
          <w:sz w:val="19"/>
          <w:szCs w:val="19"/>
        </w:rPr>
        <w:t xml:space="preserve">The contract between PN and the purchaser shall commence from the date when </w:t>
      </w:r>
      <w:r>
        <w:rPr>
          <w:rFonts w:eastAsia="Calibri"/>
          <w:b/>
          <w:color w:val="000000"/>
          <w:sz w:val="19"/>
          <w:szCs w:val="19"/>
        </w:rPr>
        <w:t>ALL</w:t>
      </w:r>
      <w:r>
        <w:rPr>
          <w:rFonts w:eastAsia="Calibri"/>
          <w:color w:val="000000"/>
          <w:sz w:val="19"/>
          <w:szCs w:val="19"/>
        </w:rPr>
        <w:t xml:space="preserve"> these conditions are met, unless otherwise stated specifically in PN offer:</w:t>
      </w:r>
    </w:p>
    <w:p>
      <w:pPr>
        <w:pStyle w:val="Normal"/>
        <w:numPr>
          <w:ilvl w:val="0"/>
          <w:numId w:val="3"/>
        </w:numPr>
        <w:ind w:left="180" w:hanging="360"/>
        <w:jc w:val="both"/>
        <w:rPr>
          <w:rFonts w:cs="Arial"/>
          <w:sz w:val="19"/>
          <w:szCs w:val="19"/>
          <w:lang w:val="en-GB"/>
        </w:rPr>
      </w:pPr>
      <w:r>
        <w:rPr>
          <w:rFonts w:cs="Arial"/>
          <w:sz w:val="19"/>
          <w:szCs w:val="19"/>
          <w:lang w:val="en-GB"/>
        </w:rPr>
        <w:t>Receipt of purchase order acceptable to PN or contract signed by both PN &amp; Purchaser</w:t>
      </w:r>
    </w:p>
    <w:p>
      <w:pPr>
        <w:pStyle w:val="Normal"/>
        <w:numPr>
          <w:ilvl w:val="0"/>
          <w:numId w:val="3"/>
        </w:numPr>
        <w:ind w:left="180" w:hanging="360"/>
        <w:jc w:val="both"/>
        <w:rPr>
          <w:rFonts w:cs="Arial"/>
          <w:sz w:val="19"/>
          <w:szCs w:val="19"/>
          <w:lang w:val="en-GB"/>
        </w:rPr>
      </w:pPr>
      <w:r>
        <w:rPr>
          <w:rFonts w:cs="Arial"/>
          <w:sz w:val="19"/>
          <w:szCs w:val="19"/>
          <w:lang w:val="en-GB"/>
        </w:rPr>
        <w:t>Receipt of Advance payment</w:t>
      </w:r>
    </w:p>
    <w:p>
      <w:pPr>
        <w:pStyle w:val="Normal"/>
        <w:numPr>
          <w:ilvl w:val="0"/>
          <w:numId w:val="3"/>
        </w:numPr>
        <w:ind w:left="180" w:hanging="360"/>
        <w:jc w:val="both"/>
        <w:rPr>
          <w:rFonts w:cs="Arial"/>
          <w:sz w:val="19"/>
          <w:szCs w:val="19"/>
          <w:lang w:val="en-GB"/>
        </w:rPr>
      </w:pPr>
      <w:r>
        <w:rPr>
          <w:rFonts w:cs="Arial"/>
          <w:sz w:val="19"/>
          <w:szCs w:val="19"/>
          <w:lang w:val="en-GB"/>
        </w:rPr>
        <w:t xml:space="preserve">Confirmed opening of an L/C by buyer, with conditions acceptable to PN for the balance payments </w:t>
      </w:r>
    </w:p>
    <w:p>
      <w:pPr>
        <w:pStyle w:val="Normal"/>
        <w:numPr>
          <w:ilvl w:val="0"/>
          <w:numId w:val="3"/>
        </w:numPr>
        <w:ind w:left="180" w:hanging="360"/>
        <w:jc w:val="both"/>
        <w:rPr>
          <w:rFonts w:cs="Arial"/>
          <w:sz w:val="19"/>
          <w:szCs w:val="19"/>
          <w:lang w:val="en-GB"/>
        </w:rPr>
      </w:pPr>
      <w:r>
        <w:rPr>
          <w:rFonts w:cs="Arial"/>
          <w:sz w:val="19"/>
          <w:szCs w:val="19"/>
          <w:lang w:val="en-GB"/>
        </w:rPr>
        <w:t xml:space="preserve">Receipt of clear technical input details required for the manufacture of the equipment.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DELIVERY</w:t>
      </w:r>
    </w:p>
    <w:p>
      <w:pPr>
        <w:pStyle w:val="Normal"/>
        <w:ind w:left="180" w:hanging="450"/>
        <w:jc w:val="both"/>
        <w:rPr>
          <w:rFonts w:cs="Arial"/>
          <w:sz w:val="19"/>
          <w:szCs w:val="19"/>
        </w:rPr>
      </w:pPr>
      <w:r>
        <w:rPr>
          <w:rFonts w:cs="Arial"/>
          <w:sz w:val="19"/>
          <w:szCs w:val="19"/>
          <w:lang w:val="en-GB"/>
        </w:rPr>
        <w:t>3.1</w:t>
        <w:tab/>
      </w:r>
      <w:r>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pPr>
        <w:pStyle w:val="Normal"/>
        <w:ind w:left="180" w:hanging="450"/>
        <w:jc w:val="both"/>
        <w:rPr>
          <w:rFonts w:cs="Arial"/>
          <w:sz w:val="19"/>
          <w:szCs w:val="19"/>
        </w:rPr>
      </w:pPr>
      <w:r>
        <w:rPr>
          <w:rFonts w:cs="Arial"/>
          <w:sz w:val="19"/>
          <w:szCs w:val="19"/>
        </w:rPr>
        <w:t>3.2</w:t>
        <w:tab/>
        <w:t xml:space="preserve">Period: Delivery The delivery period stated in the quotation starts from the fulfillment of the conditions mentioned in clause 2 above.  </w:t>
      </w:r>
    </w:p>
    <w:p>
      <w:pPr>
        <w:pStyle w:val="Normal"/>
        <w:ind w:left="180" w:hanging="450"/>
        <w:jc w:val="both"/>
        <w:rPr>
          <w:rFonts w:cs="Arial"/>
          <w:sz w:val="19"/>
          <w:szCs w:val="19"/>
        </w:rPr>
      </w:pPr>
      <w:r>
        <w:rPr>
          <w:rFonts w:cs="Arial"/>
          <w:sz w:val="19"/>
          <w:szCs w:val="19"/>
        </w:rPr>
        <w:t>3.3 Location: The equipment will be available for collection from our warehouse, unless otherwise stated specifically in the PN offer.</w:t>
      </w:r>
    </w:p>
    <w:p>
      <w:pPr>
        <w:pStyle w:val="Normal"/>
        <w:ind w:left="180" w:hanging="450"/>
        <w:jc w:val="both"/>
        <w:rPr>
          <w:rFonts w:cs="Arial"/>
          <w:sz w:val="19"/>
          <w:szCs w:val="19"/>
        </w:rPr>
      </w:pPr>
      <w:r>
        <w:rPr>
          <w:rFonts w:cs="Arial"/>
          <w:sz w:val="19"/>
          <w:szCs w:val="19"/>
        </w:rPr>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SCOPE CHANGES</w:t>
      </w:r>
    </w:p>
    <w:p>
      <w:pPr>
        <w:pStyle w:val="Normal"/>
        <w:spacing w:before="0" w:after="120"/>
        <w:ind w:left="-180" w:hanging="90"/>
        <w:jc w:val="both"/>
        <w:rPr>
          <w:rFonts w:eastAsia="Calibri"/>
          <w:color w:val="000000"/>
          <w:sz w:val="19"/>
          <w:szCs w:val="19"/>
        </w:rPr>
      </w:pPr>
      <w:r>
        <w:rPr>
          <w:rFonts w:eastAsia="Calibri"/>
          <w:b/>
          <w:bCs/>
          <w:color w:val="000000"/>
          <w:sz w:val="19"/>
          <w:szCs w:val="19"/>
        </w:rPr>
        <w:t xml:space="preserve"> </w:t>
      </w:r>
      <w:r>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PAYMENT TERMS</w:t>
      </w:r>
    </w:p>
    <w:p>
      <w:pPr>
        <w:pStyle w:val="Normal"/>
        <w:spacing w:before="0" w:after="60"/>
        <w:ind w:left="-274" w:hanging="0"/>
        <w:jc w:val="both"/>
        <w:rPr>
          <w:rFonts w:eastAsia="Calibri"/>
          <w:color w:val="000000"/>
          <w:sz w:val="19"/>
          <w:szCs w:val="19"/>
        </w:rPr>
      </w:pPr>
      <w:r>
        <w:rPr>
          <w:rFonts w:eastAsia="Calibri"/>
          <w:color w:val="000000"/>
          <w:sz w:val="19"/>
          <w:szCs w:val="19"/>
        </w:rPr>
        <w:t>Except as otherwise provided in the Quotation or agreed upon otherwise in writing by PN, Purchaser shall make payment on the basis of the following:</w:t>
      </w:r>
    </w:p>
    <w:p>
      <w:pPr>
        <w:pStyle w:val="Normal"/>
        <w:numPr>
          <w:ilvl w:val="0"/>
          <w:numId w:val="4"/>
        </w:numPr>
        <w:jc w:val="both"/>
        <w:rPr/>
      </w:pPr>
      <w:r>
        <w:rPr>
          <w:sz w:val="19"/>
          <w:szCs w:val="19"/>
        </w:rPr>
        <w:t>{payment_term};</w:t>
      </w:r>
    </w:p>
    <w:p>
      <w:pPr>
        <w:pStyle w:val="Normal"/>
        <w:ind w:left="-270" w:hanging="0"/>
        <w:jc w:val="both"/>
        <w:rPr/>
      </w:pPr>
      <w:r>
        <w:rPr>
          <w:sz w:val="19"/>
          <w:szCs w:val="19"/>
        </w:rPr>
        <w:t xml:space="preserve">The following payment {payment_trem_lc} accepted by PN, {payment_trem_lc_opened_by_buyer}, payable within {payment_days} days of submission of our invoice </w:t>
      </w:r>
    </w:p>
    <w:p>
      <w:pPr>
        <w:pStyle w:val="Normal"/>
        <w:numPr>
          <w:ilvl w:val="0"/>
          <w:numId w:val="4"/>
        </w:numPr>
        <w:jc w:val="both"/>
        <w:rPr/>
      </w:pPr>
      <w:r>
        <w:rPr>
          <w:sz w:val="19"/>
          <w:szCs w:val="19"/>
        </w:rPr>
        <w:t>{balance}</w:t>
      </w:r>
    </w:p>
    <w:p>
      <w:pPr>
        <w:pStyle w:val="Normal"/>
        <w:ind w:left="450" w:hanging="0"/>
        <w:jc w:val="both"/>
        <w:rPr>
          <w:sz w:val="19"/>
          <w:szCs w:val="19"/>
        </w:rPr>
      </w:pPr>
      <w:r>
        <w:rPr>
          <w:sz w:val="19"/>
          <w:szCs w:val="19"/>
        </w:rPr>
      </w:r>
    </w:p>
    <w:p>
      <w:pPr>
        <w:pStyle w:val="Normal"/>
        <w:ind w:left="450" w:hanging="0"/>
        <w:jc w:val="both"/>
        <w:rPr/>
      </w:pPr>
      <w:r>
        <w:rPr/>
      </w:r>
    </w:p>
    <w:p>
      <w:pPr>
        <w:pStyle w:val="Normal"/>
        <w:ind w:left="810" w:hanging="0"/>
        <w:jc w:val="both"/>
        <w:rPr>
          <w:sz w:val="19"/>
          <w:szCs w:val="19"/>
        </w:rPr>
      </w:pPr>
      <w:r>
        <w:rPr>
          <w:sz w:val="19"/>
          <w:szCs w:val="19"/>
        </w:rPr>
      </w:r>
    </w:p>
    <w:p>
      <w:pPr>
        <w:pStyle w:val="Normal"/>
        <w:ind w:left="-284" w:hanging="0"/>
        <w:jc w:val="both"/>
        <w:rPr/>
      </w:pPr>
      <w:r>
        <w:rPr>
          <w:sz w:val="19"/>
          <w:szCs w:val="19"/>
        </w:rPr>
        <w:t xml:space="preserve">If the Buyer fails to pay any amount payable by it, interest on the overdue amount from the due date up to the date of actual payment may be charged, at the rate of {interest_rate} per {interest_month}.  Such interest shall accrue on a daily basis and be compounded quarterly.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CANCELLATION</w:t>
      </w:r>
    </w:p>
    <w:p>
      <w:pPr>
        <w:pStyle w:val="Normal"/>
        <w:ind w:left="-270" w:hanging="0"/>
        <w:jc w:val="both"/>
        <w:rPr>
          <w:rFonts w:eastAsia="Calibri"/>
          <w:color w:val="000000"/>
          <w:sz w:val="19"/>
          <w:szCs w:val="19"/>
        </w:rPr>
      </w:pPr>
      <w:r>
        <w:rPr>
          <w:rFonts w:eastAsia="Calibri"/>
          <w:color w:val="000000"/>
          <w:sz w:val="19"/>
          <w:szCs w:val="19"/>
        </w:rPr>
        <w:t>PN may accept to cancel the order by Purchaser in the writing, provided Purchaser pays cancellation charges as follows:</w:t>
      </w:r>
    </w:p>
    <w:p>
      <w:pPr>
        <w:pStyle w:val="Normal"/>
        <w:numPr>
          <w:ilvl w:val="0"/>
          <w:numId w:val="3"/>
        </w:numPr>
        <w:jc w:val="both"/>
        <w:rPr/>
      </w:pPr>
      <w:r>
        <w:rPr>
          <w:rFonts w:eastAsia="Calibri"/>
          <w:color w:val="000000"/>
          <w:sz w:val="19"/>
          <w:szCs w:val="19"/>
        </w:rPr>
        <w:t xml:space="preserve"> </w:t>
      </w:r>
      <w:r>
        <w:rPr>
          <w:rFonts w:eastAsia="Calibri" w:cs="Arial"/>
          <w:color w:val="000000"/>
          <w:sz w:val="19"/>
          <w:szCs w:val="19"/>
          <w:lang w:val="en-GB"/>
        </w:rPr>
        <w:t>{cancellation_purchase_order}</w:t>
      </w:r>
      <w:r>
        <w:rPr>
          <w:rFonts w:cs="Arial"/>
          <w:sz w:val="19"/>
          <w:szCs w:val="19"/>
          <w:lang w:val="en-GB"/>
        </w:rPr>
        <w:t xml:space="preserve"> </w:t>
      </w:r>
    </w:p>
    <w:p>
      <w:pPr>
        <w:pStyle w:val="Heading1"/>
        <w:numPr>
          <w:ilvl w:val="0"/>
          <w:numId w:val="2"/>
        </w:numPr>
        <w:tabs>
          <w:tab w:val="left" w:pos="0" w:leader="none"/>
        </w:tabs>
        <w:spacing w:before="60" w:after="60"/>
        <w:ind w:left="1137" w:hanging="1411"/>
        <w:jc w:val="both"/>
        <w:rPr>
          <w:rFonts w:cs="Arial"/>
          <w:b w:val="false"/>
          <w:b w:val="false"/>
          <w:sz w:val="19"/>
          <w:szCs w:val="19"/>
        </w:rPr>
      </w:pPr>
      <w:r>
        <w:rPr>
          <w:rFonts w:ascii="Palatino Linotype" w:hAnsi="Palatino Linotype"/>
          <w:sz w:val="19"/>
          <w:szCs w:val="19"/>
        </w:rPr>
        <w:t>WARRANTY &amp; GAURANTEE</w:t>
      </w:r>
    </w:p>
    <w:p>
      <w:pPr>
        <w:pStyle w:val="Normal"/>
        <w:spacing w:before="0" w:after="120"/>
        <w:ind w:left="-274" w:hanging="0"/>
        <w:jc w:val="both"/>
        <w:rPr/>
      </w:pPr>
      <w:r>
        <w:rPr>
          <w:rFonts w:eastAsia="Calibri"/>
          <w:color w:val="000000"/>
          <w:sz w:val="19"/>
          <w:szCs w:val="19"/>
        </w:rPr>
        <w:t>{warranty_years}</w:t>
      </w:r>
      <w:bookmarkStart w:id="0" w:name="_GoBack"/>
      <w:bookmarkEnd w:id="0"/>
      <w:r>
        <w:rPr>
          <w:rFonts w:eastAsia="Calibri"/>
          <w:color w:val="000000"/>
          <w:sz w:val="19"/>
          <w:szCs w:val="19"/>
        </w:rPr>
        <w:t>Year(s) Warranty for Main equipment</w:t>
      </w:r>
    </w:p>
    <w:p>
      <w:pPr>
        <w:pStyle w:val="Normal"/>
        <w:spacing w:before="0" w:after="120"/>
        <w:ind w:left="-274" w:hanging="0"/>
        <w:jc w:val="both"/>
        <w:rPr/>
      </w:pPr>
      <w:r>
        <w:rPr>
          <w:rFonts w:eastAsia="Calibri"/>
          <w:color w:val="000000"/>
          <w:sz w:val="19"/>
          <w:szCs w:val="19"/>
        </w:rPr>
        <w:t>{guarantee_years}Year(s) Guarantee for Services</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DOCUMENTATION</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EXPORT OR RE-EXPORT</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pPr>
        <w:pStyle w:val="Heading1"/>
        <w:numPr>
          <w:ilvl w:val="0"/>
          <w:numId w:val="2"/>
        </w:numPr>
        <w:tabs>
          <w:tab w:val="left" w:pos="0" w:leader="none"/>
        </w:tabs>
        <w:spacing w:before="60" w:after="60"/>
        <w:ind w:left="1137" w:hanging="1411"/>
        <w:jc w:val="both"/>
        <w:rPr>
          <w:rFonts w:eastAsia="Calibri"/>
          <w:color w:val="000000"/>
          <w:sz w:val="19"/>
          <w:szCs w:val="19"/>
        </w:rPr>
      </w:pPr>
      <w:r>
        <w:rPr>
          <w:rFonts w:eastAsia="Calibri"/>
          <w:b w:val="false"/>
          <w:bCs/>
          <w:color w:val="000000"/>
          <w:sz w:val="19"/>
          <w:szCs w:val="19"/>
        </w:rPr>
        <w:t xml:space="preserve"> </w:t>
      </w:r>
      <w:r>
        <w:rPr>
          <w:rFonts w:ascii="Palatino Linotype" w:hAnsi="Palatino Linotype"/>
          <w:sz w:val="19"/>
          <w:szCs w:val="19"/>
        </w:rPr>
        <w:t>LIMITATION OF LIABILITY</w:t>
      </w:r>
    </w:p>
    <w:p>
      <w:pPr>
        <w:pStyle w:val="Normal"/>
        <w:spacing w:before="0" w:after="120"/>
        <w:ind w:left="-270" w:hanging="0"/>
        <w:jc w:val="both"/>
        <w:rPr>
          <w:rFonts w:eastAsia="Calibri"/>
          <w:color w:val="000000"/>
          <w:sz w:val="19"/>
          <w:szCs w:val="19"/>
        </w:rPr>
      </w:pPr>
      <w:r>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 xml:space="preserve">FORCE MAJEURE </w:t>
      </w:r>
    </w:p>
    <w:p>
      <w:pPr>
        <w:pStyle w:val="Normal"/>
        <w:spacing w:before="0" w:after="120"/>
        <w:ind w:left="-274" w:hanging="0"/>
        <w:jc w:val="both"/>
        <w:rPr>
          <w:rFonts w:eastAsia="Calibri"/>
          <w:b/>
          <w:b/>
          <w:bCs/>
          <w:color w:val="000000"/>
          <w:sz w:val="19"/>
          <w:szCs w:val="19"/>
        </w:rPr>
      </w:pPr>
      <w:r>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PROPERTY RIGHT OF PRODUCTS</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pPr>
        <w:pStyle w:val="Normal"/>
        <w:ind w:left="-270" w:hanging="0"/>
        <w:jc w:val="both"/>
        <w:rPr>
          <w:rFonts w:eastAsia="Calibri"/>
          <w:color w:val="000000"/>
          <w:sz w:val="19"/>
          <w:szCs w:val="19"/>
        </w:rPr>
      </w:pPr>
      <w:r>
        <w:rPr>
          <w:rFonts w:eastAsia="Calibri"/>
          <w:b/>
          <w:bCs/>
          <w:color w:val="000000"/>
          <w:sz w:val="19"/>
          <w:szCs w:val="19"/>
        </w:rPr>
        <w:t xml:space="preserve">12.1 SOFTWARE PRODUCTS: </w:t>
      </w:r>
      <w:r>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pPr>
        <w:pStyle w:val="Normal"/>
        <w:spacing w:before="0" w:after="120"/>
        <w:ind w:left="-270" w:hanging="0"/>
        <w:jc w:val="both"/>
        <w:rPr>
          <w:rFonts w:eastAsia="Calibri"/>
          <w:color w:val="000000"/>
          <w:sz w:val="19"/>
          <w:szCs w:val="19"/>
        </w:rPr>
      </w:pPr>
      <w:r>
        <w:rPr>
          <w:rFonts w:eastAsia="Calibri"/>
          <w:b/>
          <w:bCs/>
          <w:color w:val="000000"/>
          <w:sz w:val="19"/>
          <w:szCs w:val="19"/>
        </w:rPr>
        <w:t xml:space="preserve">12.2 </w:t>
      </w:r>
      <w:r>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LIABILITY</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 xml:space="preserve">GOVERNING LAW </w:t>
      </w:r>
      <w:r>
        <w:rPr>
          <w:rFonts w:eastAsia="Calibri"/>
          <w:color w:val="000000"/>
          <w:sz w:val="19"/>
          <w:szCs w:val="19"/>
        </w:rPr>
        <w:t xml:space="preserve">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 xml:space="preserve">DISPUTES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 xml:space="preserve">TAXES: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expressly provided for in the Quotation, all taxes and other dues arising out from the contract or the order shall be in Purchaser’s account. </w:t>
      </w:r>
    </w:p>
    <w:p>
      <w:pPr>
        <w:pStyle w:val="Heading1"/>
        <w:numPr>
          <w:ilvl w:val="0"/>
          <w:numId w:val="2"/>
        </w:numPr>
        <w:tabs>
          <w:tab w:val="left" w:pos="0" w:leader="none"/>
        </w:tabs>
        <w:spacing w:before="60" w:after="60"/>
        <w:ind w:left="1137" w:hanging="1411"/>
        <w:jc w:val="both"/>
        <w:rPr>
          <w:rFonts w:ascii="Palatino Linotype" w:hAnsi="Palatino Linotype"/>
          <w:sz w:val="19"/>
          <w:szCs w:val="19"/>
        </w:rPr>
      </w:pPr>
      <w:r>
        <w:rPr>
          <w:rFonts w:ascii="Palatino Linotype" w:hAnsi="Palatino Linotype"/>
          <w:sz w:val="19"/>
          <w:szCs w:val="19"/>
        </w:rPr>
        <w:t xml:space="preserve">OTHERS: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other terms and conditions shall be subject to PN’s written consent to Purchaser. </w:t>
      </w:r>
    </w:p>
    <w:p>
      <w:pPr>
        <w:pStyle w:val="Normal"/>
        <w:spacing w:before="0" w:after="120"/>
        <w:ind w:left="-274" w:hanging="0"/>
        <w:jc w:val="both"/>
        <w:rPr/>
      </w:pPr>
      <w:r>
        <w:rPr>
          <w:rFonts w:eastAsia="Calibri"/>
          <w:color w:val="000000"/>
          <w:sz w:val="19"/>
          <w:szCs w:val="19"/>
        </w:rPr>
        <w:t>(End of Document)</w:t>
      </w:r>
    </w:p>
    <w:sectPr>
      <w:headerReference w:type="default" r:id="rId2"/>
      <w:footerReference w:type="default" r:id="rId3"/>
      <w:type w:val="nextPage"/>
      <w:pgSz w:w="11906" w:h="16838"/>
      <w:pgMar w:left="1260" w:right="1106" w:header="431" w:top="1701" w:footer="709" w:bottom="1440" w:gutter="0"/>
      <w:pgNumType w:fmt="decimal"/>
      <w:cols w:num="2" w:space="708"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t>{ref_no}</w:t>
    </w:r>
  </w:p>
  <w:p>
    <w:pPr>
      <w:pStyle w:val="Footer"/>
      <w:jc w:val="center"/>
      <w:rPr>
        <w:b/>
        <w:b/>
        <w:sz w:val="20"/>
        <w:szCs w:val="20"/>
      </w:rPr>
    </w:pPr>
    <w:r>
      <mc:AlternateContent>
        <mc:Choice Requires="wps">
          <w:drawing>
            <wp:anchor behindDoc="1" distT="0" distB="0" distL="112395" distR="112395" simplePos="0" locked="0" layoutInCell="1" allowOverlap="1" relativeHeight="3" wp14:anchorId="6F9D6AA5">
              <wp:simplePos x="0" y="0"/>
              <wp:positionH relativeFrom="column">
                <wp:posOffset>-9525</wp:posOffset>
              </wp:positionH>
              <wp:positionV relativeFrom="paragraph">
                <wp:posOffset>-6985</wp:posOffset>
              </wp:positionV>
              <wp:extent cx="5804535" cy="4445"/>
              <wp:effectExtent l="9525" t="12065" r="9525" b="6985"/>
              <wp:wrapNone/>
              <wp:docPr id="2" name="AutoShape 1"/>
              <a:graphic xmlns:a="http://schemas.openxmlformats.org/drawingml/2006/main">
                <a:graphicData uri="http://schemas.microsoft.com/office/word/2010/wordprocessingShape">
                  <wps:wsp>
                    <wps:cNvSpPr/>
                    <wps:spPr>
                      <a:xfrm>
                        <a:off x="0" y="0"/>
                        <a:ext cx="5803920" cy="3960"/>
                      </a:xfrm>
                      <a:custGeom>
                        <a:avLst/>
                        <a:gdLst/>
                        <a:ahLst/>
                        <a:rect l="l" t="t" r="r" b="b"/>
                        <a:pathLst>
                          <a:path w="21600" h="21600">
                            <a:moveTo>
                              <a:pt x="0" y="0"/>
                            </a:moveTo>
                            <a:lnTo>
                              <a:pt x="21600" y="21600"/>
                            </a:lnTo>
                          </a:path>
                        </a:pathLst>
                      </a:custGeom>
                      <a:noFill/>
                      <a:ln w="12600">
                        <a:solidFill>
                          <a:srgbClr val="cc0000"/>
                        </a:solidFill>
                        <a:round/>
                      </a:ln>
                    </wps:spPr>
                    <wps:style>
                      <a:lnRef idx="0"/>
                      <a:fillRef idx="0"/>
                      <a:effectRef idx="0"/>
                      <a:fontRef idx="minor"/>
                    </wps:style>
                    <wps:bodyPr/>
                  </wps:wsp>
                </a:graphicData>
              </a:graphic>
            </wp:anchor>
          </w:drawing>
        </mc:Choice>
        <mc:Fallback>
          <w:pict/>
        </mc:Fallback>
      </mc:AlternateContent>
    </w:r>
    <w:r>
      <w:rPr>
        <w:b/>
        <w:sz w:val="20"/>
        <w:szCs w:val="20"/>
      </w:rPr>
      <w:t xml:space="preserve">PEAK NATIONAL GENERAL TRADING &amp; CONTRACTING CO.W.L.L       </w:t>
    </w:r>
  </w:p>
  <w:p>
    <w:pPr>
      <w:pStyle w:val="Footer"/>
      <w:jc w:val="center"/>
      <w:rPr>
        <w:sz w:val="16"/>
        <w:szCs w:val="16"/>
        <w:lang w:val="de-DE"/>
      </w:rPr>
    </w:pPr>
    <w:r>
      <w:rPr>
        <w:sz w:val="16"/>
        <w:szCs w:val="16"/>
      </w:rPr>
      <w:t>P.O. Box: 248, Qurtuba - 73753, Kuwait. Tel: 965-2224 8362/63 Fax: 965-2224 8364</w:t>
    </w:r>
    <w:r>
      <w:rPr>
        <w:sz w:val="16"/>
        <w:szCs w:val="16"/>
        <w:lang w:val="de-DE"/>
      </w:rPr>
      <w:t xml:space="preserve"> E-mail: admin@peak-national.com</w:t>
    </w:r>
  </w:p>
  <w:p>
    <w:pPr>
      <w:pStyle w:val="Normal"/>
      <w:rPr>
        <w:sz w:val="14"/>
        <w:szCs w:val="14"/>
        <w:lang w:val="de-DE"/>
      </w:rPr>
    </w:pPr>
    <w:r>
      <w:rPr>
        <w:sz w:val="14"/>
        <w:szCs w:val="14"/>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0" distT="0" distB="0" distL="0" distR="0" simplePos="0" locked="0" layoutInCell="1" allowOverlap="1" relativeHeight="5">
          <wp:simplePos x="0" y="0"/>
          <wp:positionH relativeFrom="column">
            <wp:posOffset>2347595</wp:posOffset>
          </wp:positionH>
          <wp:positionV relativeFrom="paragraph">
            <wp:posOffset>-224790</wp:posOffset>
          </wp:positionV>
          <wp:extent cx="1237615" cy="581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237615" cy="581025"/>
                  </a:xfrm>
                  <a:prstGeom prst="rect">
                    <a:avLst/>
                  </a:prstGeom>
                </pic:spPr>
              </pic:pic>
            </a:graphicData>
          </a:graphic>
        </wp:anchor>
      </w:drawing>
    </w:r>
  </w:p>
  <w:p>
    <w:pPr>
      <w:pStyle w:val="Header"/>
      <w:jc w:val="center"/>
      <w:rPr/>
    </w:pPr>
    <w:r>
      <w:rPr/>
    </w:r>
  </w:p>
  <w:p>
    <w:pPr>
      <w:pStyle w:val="Header"/>
      <w:jc w:val="center"/>
      <w:rPr/>
    </w:pPr>
    <w:r>
      <w:rPr/>
    </w:r>
  </w:p>
  <w:p>
    <w:pPr>
      <w:pStyle w:val="Header"/>
      <w:jc w:val="center"/>
      <w:rPr>
        <w:b/>
        <w:b/>
      </w:rPr>
    </w:pPr>
    <w:r>
      <w:rPr>
        <w:b/>
      </w:rPr>
      <w:t>GENERAL SALES TERMS &amp; COMMERCIAL CONDITIONS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Heading1"/>
      <w:numFmt w:val="decimal"/>
      <w:lvlText w:val="%1"/>
      <w:lvlJc w:val="left"/>
      <w:pPr>
        <w:tabs>
          <w:tab w:val="num" w:pos="1134"/>
        </w:tabs>
        <w:ind w:left="1134" w:hanging="1134"/>
      </w:pPr>
      <w:rPr>
        <w:sz w:val="19"/>
        <w:b w:val="false"/>
        <w:szCs w:val="22"/>
        <w:rFonts w:ascii="Palatino Linotype" w:hAnsi="Palatino Linotype"/>
      </w:rPr>
    </w:lvl>
    <w:lvl w:ilvl="1">
      <w:start w:val="3"/>
      <w:pStyle w:val="Heading2"/>
      <w:numFmt w:val="decimal"/>
      <w:lvlText w:val="%1.%2"/>
      <w:lvlJc w:val="left"/>
      <w:pPr>
        <w:tabs>
          <w:tab w:val="num" w:pos="1134"/>
        </w:tabs>
        <w:ind w:left="1134" w:hanging="113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1134"/>
        </w:tabs>
        <w:ind w:left="1134" w:hanging="1134"/>
      </w:pPr>
      <w:rPr>
        <w:sz w:val="22"/>
        <w:szCs w:val="22"/>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4a13"/>
    <w:pPr>
      <w:widowControl/>
      <w:bidi w:val="0"/>
      <w:jc w:val="left"/>
    </w:pPr>
    <w:rPr>
      <w:rFonts w:ascii="Palatino Linotype" w:hAnsi="Palatino Linotype" w:eastAsia="Times New Roman" w:cs="Times New Roman"/>
      <w:color w:val="00000A"/>
      <w:kern w:val="0"/>
      <w:sz w:val="22"/>
      <w:szCs w:val="24"/>
      <w:lang w:val="en-US" w:eastAsia="en-US" w:bidi="ar-SA"/>
    </w:rPr>
  </w:style>
  <w:style w:type="paragraph" w:styleId="Heading1">
    <w:name w:val="Heading 1"/>
    <w:basedOn w:val="Normal"/>
    <w:link w:val="Heading1Char"/>
    <w:qFormat/>
    <w:rsid w:val="008e4a13"/>
    <w:pPr>
      <w:keepNext w:val="true"/>
      <w:numPr>
        <w:ilvl w:val="0"/>
        <w:numId w:val="1"/>
      </w:numPr>
      <w:spacing w:before="240" w:after="240"/>
      <w:outlineLvl w:val="0"/>
    </w:pPr>
    <w:rPr>
      <w:rFonts w:ascii="Arial" w:hAnsi="Arial"/>
      <w:b/>
      <w:caps/>
      <w:kern w:val="2"/>
      <w:sz w:val="28"/>
      <w:szCs w:val="20"/>
      <w:lang w:val="en-GB" w:eastAsia="ja-JP"/>
    </w:rPr>
  </w:style>
  <w:style w:type="paragraph" w:styleId="Heading2">
    <w:name w:val="Heading 2"/>
    <w:basedOn w:val="Heading1"/>
    <w:link w:val="Heading2Char"/>
    <w:qFormat/>
    <w:rsid w:val="008e4a13"/>
    <w:pPr>
      <w:numPr>
        <w:ilvl w:val="1"/>
        <w:numId w:val="1"/>
      </w:numPr>
      <w:spacing w:before="360" w:after="240"/>
      <w:outlineLvl w:val="1"/>
    </w:pPr>
    <w:rPr>
      <w:caps w:val="false"/>
      <w:smallCaps w:val="false"/>
      <w:sz w:val="24"/>
    </w:rPr>
  </w:style>
  <w:style w:type="paragraph" w:styleId="Heading3">
    <w:name w:val="Heading 3"/>
    <w:basedOn w:val="Heading2"/>
    <w:link w:val="Heading3Char"/>
    <w:qFormat/>
    <w:rsid w:val="008e4a13"/>
    <w:pPr>
      <w:numPr>
        <w:ilvl w:val="2"/>
        <w:numId w:val="1"/>
      </w:numPr>
      <w:spacing w:before="240" w:after="240"/>
      <w:outlineLvl w:val="2"/>
    </w:pPr>
    <w:rPr/>
  </w:style>
  <w:style w:type="paragraph" w:styleId="Heading4">
    <w:name w:val="Heading 4"/>
    <w:basedOn w:val="Heading5"/>
    <w:link w:val="Heading4Char"/>
    <w:qFormat/>
    <w:rsid w:val="008e4a13"/>
    <w:pPr>
      <w:numPr>
        <w:ilvl w:val="3"/>
        <w:numId w:val="1"/>
      </w:numPr>
      <w:spacing w:before="240" w:after="120"/>
      <w:outlineLvl w:val="3"/>
    </w:pPr>
    <w:rPr>
      <w:sz w:val="24"/>
    </w:rPr>
  </w:style>
  <w:style w:type="paragraph" w:styleId="Heading5">
    <w:name w:val="Heading 5"/>
    <w:basedOn w:val="Normal"/>
    <w:next w:val="Normal"/>
    <w:link w:val="Heading5Char"/>
    <w:qFormat/>
    <w:rsid w:val="008e4a13"/>
    <w:pPr>
      <w:keepNext w:val="true"/>
      <w:numPr>
        <w:ilvl w:val="4"/>
        <w:numId w:val="1"/>
      </w:numPr>
      <w:spacing w:before="0" w:after="240"/>
      <w:outlineLvl w:val="4"/>
    </w:pPr>
    <w:rPr>
      <w:rFonts w:ascii="Arial" w:hAnsi="Arial"/>
      <w:b/>
      <w:sz w:val="20"/>
      <w:szCs w:val="20"/>
      <w:lang w:val="en-GB" w:eastAsia="ja-JP"/>
    </w:rPr>
  </w:style>
  <w:style w:type="paragraph" w:styleId="Heading6">
    <w:name w:val="Heading 6"/>
    <w:basedOn w:val="Heading5"/>
    <w:next w:val="Normal"/>
    <w:link w:val="Heading6Char"/>
    <w:qFormat/>
    <w:rsid w:val="008e4a13"/>
    <w:pPr>
      <w:numPr>
        <w:ilvl w:val="5"/>
        <w:numId w:val="1"/>
      </w:numPr>
      <w:outlineLvl w:val="5"/>
    </w:pPr>
    <w:rPr>
      <w:color w:val="0000FF"/>
    </w:rPr>
  </w:style>
  <w:style w:type="paragraph" w:styleId="Heading7">
    <w:name w:val="Heading 7"/>
    <w:basedOn w:val="Normal"/>
    <w:next w:val="Normal"/>
    <w:link w:val="Heading7Char"/>
    <w:qFormat/>
    <w:rsid w:val="008e4a13"/>
    <w:pPr>
      <w:numPr>
        <w:ilvl w:val="6"/>
        <w:numId w:val="1"/>
      </w:numPr>
      <w:spacing w:before="240" w:after="60"/>
      <w:outlineLvl w:val="6"/>
    </w:pPr>
    <w:rPr>
      <w:rFonts w:ascii="Arial" w:hAnsi="Arial"/>
      <w:sz w:val="20"/>
      <w:szCs w:val="20"/>
      <w:lang w:val="en-GB" w:eastAsia="ja-JP"/>
    </w:rPr>
  </w:style>
  <w:style w:type="paragraph" w:styleId="Heading8">
    <w:name w:val="Heading 8"/>
    <w:basedOn w:val="Normal"/>
    <w:next w:val="Normal"/>
    <w:link w:val="Heading8Char"/>
    <w:qFormat/>
    <w:rsid w:val="008e4a13"/>
    <w:pPr>
      <w:numPr>
        <w:ilvl w:val="7"/>
        <w:numId w:val="1"/>
      </w:numPr>
      <w:spacing w:before="240" w:after="60"/>
      <w:outlineLvl w:val="7"/>
    </w:pPr>
    <w:rPr>
      <w:rFonts w:ascii="Arial" w:hAnsi="Arial"/>
      <w:i/>
      <w:sz w:val="20"/>
      <w:szCs w:val="20"/>
      <w:lang w:val="en-GB" w:eastAsia="ja-JP"/>
    </w:rPr>
  </w:style>
  <w:style w:type="paragraph" w:styleId="Heading9">
    <w:name w:val="Heading 9"/>
    <w:basedOn w:val="Normal"/>
    <w:next w:val="Normal"/>
    <w:link w:val="Heading9Char"/>
    <w:qFormat/>
    <w:rsid w:val="008e4a13"/>
    <w:pPr>
      <w:numPr>
        <w:ilvl w:val="8"/>
        <w:numId w:val="1"/>
      </w:numPr>
      <w:spacing w:before="240" w:after="60"/>
      <w:outlineLvl w:val="8"/>
    </w:pPr>
    <w:rPr>
      <w:rFonts w:ascii="Arial" w:hAnsi="Arial"/>
      <w:b/>
      <w:i/>
      <w:sz w:val="18"/>
      <w:szCs w:val="20"/>
      <w:lang w:val="en-GB"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e4a13"/>
    <w:rPr>
      <w:rFonts w:ascii="Arial" w:hAnsi="Arial" w:eastAsia="Times New Roman" w:cs="Times New Roman"/>
      <w:b/>
      <w:caps/>
      <w:kern w:val="2"/>
      <w:sz w:val="28"/>
      <w:szCs w:val="20"/>
      <w:lang w:eastAsia="ja-JP"/>
    </w:rPr>
  </w:style>
  <w:style w:type="character" w:styleId="Heading2Char" w:customStyle="1">
    <w:name w:val="Heading 2 Char"/>
    <w:basedOn w:val="DefaultParagraphFont"/>
    <w:link w:val="Heading2"/>
    <w:qFormat/>
    <w:rsid w:val="008e4a13"/>
    <w:rPr>
      <w:rFonts w:ascii="Arial" w:hAnsi="Arial" w:eastAsia="Times New Roman" w:cs="Times New Roman"/>
      <w:b/>
      <w:kern w:val="2"/>
      <w:sz w:val="24"/>
      <w:szCs w:val="20"/>
      <w:lang w:eastAsia="ja-JP"/>
    </w:rPr>
  </w:style>
  <w:style w:type="character" w:styleId="Heading3Char" w:customStyle="1">
    <w:name w:val="Heading 3 Char"/>
    <w:basedOn w:val="DefaultParagraphFont"/>
    <w:link w:val="Heading3"/>
    <w:qFormat/>
    <w:rsid w:val="008e4a13"/>
    <w:rPr>
      <w:rFonts w:ascii="Arial" w:hAnsi="Arial" w:eastAsia="Times New Roman" w:cs="Times New Roman"/>
      <w:b/>
      <w:kern w:val="2"/>
      <w:sz w:val="24"/>
      <w:szCs w:val="20"/>
      <w:lang w:eastAsia="ja-JP"/>
    </w:rPr>
  </w:style>
  <w:style w:type="character" w:styleId="Heading4Char" w:customStyle="1">
    <w:name w:val="Heading 4 Char"/>
    <w:basedOn w:val="DefaultParagraphFont"/>
    <w:link w:val="Heading4"/>
    <w:qFormat/>
    <w:rsid w:val="008e4a13"/>
    <w:rPr>
      <w:rFonts w:ascii="Arial" w:hAnsi="Arial" w:eastAsia="Times New Roman" w:cs="Times New Roman"/>
      <w:b/>
      <w:sz w:val="24"/>
      <w:szCs w:val="20"/>
      <w:lang w:eastAsia="ja-JP"/>
    </w:rPr>
  </w:style>
  <w:style w:type="character" w:styleId="Heading5Char" w:customStyle="1">
    <w:name w:val="Heading 5 Char"/>
    <w:basedOn w:val="DefaultParagraphFont"/>
    <w:link w:val="Heading5"/>
    <w:qFormat/>
    <w:rsid w:val="008e4a13"/>
    <w:rPr>
      <w:rFonts w:ascii="Arial" w:hAnsi="Arial" w:eastAsia="Times New Roman" w:cs="Times New Roman"/>
      <w:b/>
      <w:sz w:val="20"/>
      <w:szCs w:val="20"/>
      <w:lang w:eastAsia="ja-JP"/>
    </w:rPr>
  </w:style>
  <w:style w:type="character" w:styleId="Heading6Char" w:customStyle="1">
    <w:name w:val="Heading 6 Char"/>
    <w:basedOn w:val="DefaultParagraphFont"/>
    <w:link w:val="Heading6"/>
    <w:qFormat/>
    <w:rsid w:val="008e4a13"/>
    <w:rPr>
      <w:rFonts w:ascii="Arial" w:hAnsi="Arial" w:eastAsia="Times New Roman" w:cs="Times New Roman"/>
      <w:b/>
      <w:color w:val="0000FF"/>
      <w:sz w:val="20"/>
      <w:szCs w:val="20"/>
      <w:lang w:eastAsia="ja-JP"/>
    </w:rPr>
  </w:style>
  <w:style w:type="character" w:styleId="Heading7Char" w:customStyle="1">
    <w:name w:val="Heading 7 Char"/>
    <w:basedOn w:val="DefaultParagraphFont"/>
    <w:link w:val="Heading7"/>
    <w:qFormat/>
    <w:rsid w:val="008e4a13"/>
    <w:rPr>
      <w:rFonts w:ascii="Arial" w:hAnsi="Arial" w:eastAsia="Times New Roman" w:cs="Times New Roman"/>
      <w:sz w:val="20"/>
      <w:szCs w:val="20"/>
      <w:lang w:eastAsia="ja-JP"/>
    </w:rPr>
  </w:style>
  <w:style w:type="character" w:styleId="Heading8Char" w:customStyle="1">
    <w:name w:val="Heading 8 Char"/>
    <w:basedOn w:val="DefaultParagraphFont"/>
    <w:link w:val="Heading8"/>
    <w:qFormat/>
    <w:rsid w:val="008e4a13"/>
    <w:rPr>
      <w:rFonts w:ascii="Arial" w:hAnsi="Arial" w:eastAsia="Times New Roman" w:cs="Times New Roman"/>
      <w:i/>
      <w:sz w:val="20"/>
      <w:szCs w:val="20"/>
      <w:lang w:eastAsia="ja-JP"/>
    </w:rPr>
  </w:style>
  <w:style w:type="character" w:styleId="Heading9Char" w:customStyle="1">
    <w:name w:val="Heading 9 Char"/>
    <w:basedOn w:val="DefaultParagraphFont"/>
    <w:link w:val="Heading9"/>
    <w:qFormat/>
    <w:rsid w:val="008e4a13"/>
    <w:rPr>
      <w:rFonts w:ascii="Arial" w:hAnsi="Arial" w:eastAsia="Times New Roman" w:cs="Times New Roman"/>
      <w:b/>
      <w:i/>
      <w:sz w:val="18"/>
      <w:szCs w:val="20"/>
      <w:lang w:eastAsia="ja-JP"/>
    </w:rPr>
  </w:style>
  <w:style w:type="character" w:styleId="HeaderChar" w:customStyle="1">
    <w:name w:val="Header Char"/>
    <w:basedOn w:val="DefaultParagraphFont"/>
    <w:link w:val="Header"/>
    <w:uiPriority w:val="99"/>
    <w:qFormat/>
    <w:rsid w:val="008e4a13"/>
    <w:rPr>
      <w:rFonts w:ascii="Palatino Linotype" w:hAnsi="Palatino Linotype" w:eastAsia="Times New Roman" w:cs="Times New Roman"/>
      <w:szCs w:val="24"/>
      <w:lang w:val="en-US"/>
    </w:rPr>
  </w:style>
  <w:style w:type="character" w:styleId="FooterChar" w:customStyle="1">
    <w:name w:val="Footer Char"/>
    <w:basedOn w:val="DefaultParagraphFont"/>
    <w:link w:val="Footer"/>
    <w:uiPriority w:val="99"/>
    <w:qFormat/>
    <w:rsid w:val="008e4a13"/>
    <w:rPr>
      <w:rFonts w:ascii="Palatino Linotype" w:hAnsi="Palatino Linotype" w:eastAsia="Times New Roman" w:cs="Times New Roman"/>
      <w:szCs w:val="24"/>
      <w:lang w:val="en-US"/>
    </w:rPr>
  </w:style>
  <w:style w:type="character" w:styleId="BalloonTextChar" w:customStyle="1">
    <w:name w:val="Balloon Text Char"/>
    <w:basedOn w:val="DefaultParagraphFont"/>
    <w:link w:val="BalloonText"/>
    <w:uiPriority w:val="99"/>
    <w:semiHidden/>
    <w:qFormat/>
    <w:rsid w:val="008e4a13"/>
    <w:rPr>
      <w:rFonts w:ascii="Tahoma" w:hAnsi="Tahoma" w:eastAsia="Times New Roman" w:cs="Tahoma"/>
      <w:sz w:val="16"/>
      <w:szCs w:val="16"/>
      <w:lang w:val="en-US"/>
    </w:rPr>
  </w:style>
  <w:style w:type="character" w:styleId="ListLabel1" w:customStyle="1">
    <w:name w:val="ListLabel 1"/>
    <w:qFormat/>
    <w:rPr>
      <w:sz w:val="22"/>
      <w:szCs w:val="22"/>
    </w:rPr>
  </w:style>
  <w:style w:type="character" w:styleId="ListLabel2" w:customStyle="1">
    <w:name w:val="ListLabel 2"/>
    <w:qFormat/>
    <w:rPr>
      <w:b/>
    </w:rPr>
  </w:style>
  <w:style w:type="character" w:styleId="ListLabel3" w:customStyle="1">
    <w:name w:val="ListLabel 3"/>
    <w:qFormat/>
    <w:rPr>
      <w:b/>
    </w:rPr>
  </w:style>
  <w:style w:type="character" w:styleId="ListLabel4" w:customStyle="1">
    <w:name w:val="ListLabel 4"/>
    <w:qFormat/>
    <w:rPr>
      <w:b/>
    </w:rPr>
  </w:style>
  <w:style w:type="character" w:styleId="ListLabel5" w:customStyle="1">
    <w:name w:val="ListLabel 5"/>
    <w:qFormat/>
    <w:rPr>
      <w:b/>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b/>
    </w:rPr>
  </w:style>
  <w:style w:type="character" w:styleId="ListLabel9" w:customStyle="1">
    <w:name w:val="ListLabel 9"/>
    <w:qFormat/>
    <w:rPr>
      <w:b/>
    </w:rPr>
  </w:style>
  <w:style w:type="character" w:styleId="ListLabel10" w:customStyle="1">
    <w:name w:val="ListLabel 10"/>
    <w:qFormat/>
    <w:rPr>
      <w:b/>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b/>
    </w:rPr>
  </w:style>
  <w:style w:type="character" w:styleId="ListLabel18" w:customStyle="1">
    <w:name w:val="ListLabel 18"/>
    <w:qFormat/>
    <w:rPr>
      <w:b/>
    </w:rPr>
  </w:style>
  <w:style w:type="character" w:styleId="ListLabel19" w:customStyle="1">
    <w:name w:val="ListLabel 19"/>
    <w:qFormat/>
    <w:rPr>
      <w:b/>
    </w:rPr>
  </w:style>
  <w:style w:type="character" w:styleId="ListLabel20" w:customStyle="1">
    <w:name w:val="ListLabel 20"/>
    <w:qFormat/>
    <w:rPr>
      <w:b/>
    </w:rPr>
  </w:style>
  <w:style w:type="character" w:styleId="ListLabel21" w:customStyle="1">
    <w:name w:val="ListLabel 21"/>
    <w:qFormat/>
    <w:rPr>
      <w:b/>
    </w:rPr>
  </w:style>
  <w:style w:type="character" w:styleId="ListLabel22" w:customStyle="1">
    <w:name w:val="ListLabel 22"/>
    <w:qFormat/>
    <w:rPr>
      <w:b/>
    </w:rPr>
  </w:style>
  <w:style w:type="character" w:styleId="ListLabel23" w:customStyle="1">
    <w:name w:val="ListLabel 23"/>
    <w:qFormat/>
    <w:rPr>
      <w:b/>
    </w:rPr>
  </w:style>
  <w:style w:type="character" w:styleId="ListLabel24" w:customStyle="1">
    <w:name w:val="ListLabel 24"/>
    <w:qFormat/>
    <w:rPr>
      <w:b/>
    </w:rPr>
  </w:style>
  <w:style w:type="character" w:styleId="ListLabel25" w:customStyle="1">
    <w:name w:val="ListLabel 25"/>
    <w:qFormat/>
    <w:rPr>
      <w:b/>
    </w:rPr>
  </w:style>
  <w:style w:type="character" w:styleId="ListLabel26" w:customStyle="1">
    <w:name w:val="ListLabel 26"/>
    <w:qFormat/>
    <w:rPr>
      <w:sz w:val="22"/>
      <w:szCs w:val="22"/>
    </w:rPr>
  </w:style>
  <w:style w:type="character" w:styleId="ListLabel27" w:customStyle="1">
    <w:name w:val="ListLabel 27"/>
    <w:qFormat/>
    <w:rPr>
      <w:rFonts w:ascii="Palatino Linotype" w:hAnsi="Palatino Linotype"/>
      <w:b w:val="false"/>
      <w:sz w:val="19"/>
      <w:szCs w:val="22"/>
    </w:rPr>
  </w:style>
  <w:style w:type="character" w:styleId="ListLabel28" w:customStyle="1">
    <w:name w:val="ListLabel 28"/>
    <w:qFormat/>
    <w:rPr>
      <w:sz w:val="22"/>
      <w:szCs w:val="22"/>
    </w:rPr>
  </w:style>
  <w:style w:type="character" w:styleId="ListLabel29" w:customStyle="1">
    <w:name w:val="ListLabel 29"/>
    <w:qFormat/>
    <w:rPr>
      <w:rFonts w:cs="Wingdings"/>
      <w:sz w:val="19"/>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Wingdings"/>
      <w:sz w:val="19"/>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b w:val="false"/>
      <w:sz w:val="19"/>
      <w:szCs w:val="22"/>
    </w:rPr>
  </w:style>
  <w:style w:type="character" w:styleId="ListLabel48">
    <w:name w:val="ListLabel 48"/>
    <w:qFormat/>
    <w:rPr>
      <w:sz w:val="22"/>
      <w:szCs w:val="22"/>
    </w:rPr>
  </w:style>
  <w:style w:type="character" w:styleId="ListLabel49">
    <w:name w:val="ListLabel 49"/>
    <w:qFormat/>
    <w:rPr>
      <w:rFonts w:cs="Wingdings"/>
      <w:sz w:val="19"/>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sz w:val="19"/>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Palatino Linotype" w:hAnsi="Palatino Linotype"/>
      <w:b w:val="false"/>
      <w:sz w:val="19"/>
      <w:szCs w:val="22"/>
    </w:rPr>
  </w:style>
  <w:style w:type="character" w:styleId="ListLabel68">
    <w:name w:val="ListLabel 68"/>
    <w:qFormat/>
    <w:rPr>
      <w:sz w:val="22"/>
      <w:szCs w:val="22"/>
    </w:rPr>
  </w:style>
  <w:style w:type="character" w:styleId="ListLabel69">
    <w:name w:val="ListLabel 69"/>
    <w:qFormat/>
    <w:rPr>
      <w:rFonts w:cs="Wingdings"/>
      <w:sz w:val="19"/>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Wingdings"/>
      <w:sz w:val="19"/>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Palatino Linotype" w:hAnsi="Palatino Linotype"/>
      <w:b w:val="false"/>
      <w:sz w:val="19"/>
      <w:szCs w:val="22"/>
    </w:rPr>
  </w:style>
  <w:style w:type="character" w:styleId="ListLabel88">
    <w:name w:val="ListLabel 88"/>
    <w:qFormat/>
    <w:rPr>
      <w:sz w:val="22"/>
      <w:szCs w:val="22"/>
    </w:rPr>
  </w:style>
  <w:style w:type="character" w:styleId="ListLabel89">
    <w:name w:val="ListLabel 89"/>
    <w:qFormat/>
    <w:rPr>
      <w:rFonts w:cs="Wingdings"/>
      <w:sz w:val="19"/>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Wingdings"/>
      <w:sz w:val="19"/>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Palatino Linotype" w:hAnsi="Palatino Linotype"/>
      <w:b w:val="false"/>
      <w:sz w:val="19"/>
      <w:szCs w:val="22"/>
    </w:rPr>
  </w:style>
  <w:style w:type="character" w:styleId="ListLabel108">
    <w:name w:val="ListLabel 108"/>
    <w:qFormat/>
    <w:rPr>
      <w:sz w:val="22"/>
      <w:szCs w:val="22"/>
    </w:rPr>
  </w:style>
  <w:style w:type="character" w:styleId="ListLabel109">
    <w:name w:val="ListLabel 109"/>
    <w:qFormat/>
    <w:rPr>
      <w:rFonts w:cs="Wingdings"/>
      <w:sz w:val="19"/>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Wingdings"/>
      <w:sz w:val="19"/>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link w:val="HeaderChar"/>
    <w:uiPriority w:val="99"/>
    <w:unhideWhenUsed/>
    <w:rsid w:val="008e4a13"/>
    <w:pPr>
      <w:tabs>
        <w:tab w:val="center" w:pos="4513" w:leader="none"/>
        <w:tab w:val="right" w:pos="9026" w:leader="none"/>
      </w:tabs>
    </w:pPr>
    <w:rPr/>
  </w:style>
  <w:style w:type="paragraph" w:styleId="Footer">
    <w:name w:val="Footer"/>
    <w:basedOn w:val="Normal"/>
    <w:link w:val="FooterChar"/>
    <w:uiPriority w:val="99"/>
    <w:unhideWhenUsed/>
    <w:rsid w:val="008e4a13"/>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8e4a1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43AD08-2191-4380-9847-72BA417E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LibreOffice/5.4.5.1$Linux_X86_64 LibreOffice_project/40m0$Build-1</Application>
  <Pages>2</Pages>
  <Words>1232</Words>
  <Characters>6679</Characters>
  <CharactersWithSpaces>7875</CharactersWithSpaces>
  <Paragraphs>57</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2019-05-27T10:33:00Z</dcterms:created>
  <dc:creator>AB03</dc:creator>
  <dc:description/>
  <dc:language>en-IN</dc:language>
  <cp:lastModifiedBy/>
  <cp:lastPrinted>2014-09-14T13:47:00Z</cp:lastPrinted>
  <dcterms:modified xsi:type="dcterms:W3CDTF">2019-07-01T17:38:25Z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