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60174">
      <w:pPr>
        <w:spacing w:after="320"/>
        <w:jc w:val="center"/>
      </w:pPr>
      <w:r>
        <w:rPr>
          <w:rFonts w:ascii="黑体" w:hAnsi="黑体" w:eastAsia="黑体"/>
          <w:b/>
          <w:color w:val="0B2545"/>
          <w:sz w:val="32"/>
        </w:rPr>
        <w:t>土地财政依赖度下降与企业投资效率：过度投资抑制还是投资不足加剧</w:t>
      </w:r>
    </w:p>
    <w:p w14:paraId="3410E6B1">
      <w:pPr>
        <w:spacing w:after="160" w:line="300" w:lineRule="auto"/>
        <w:ind w:firstLine="440"/>
        <w:jc w:val="both"/>
      </w:pPr>
      <w:r>
        <w:rPr>
          <w:rFonts w:ascii="宋体" w:hAnsi="宋体" w:eastAsia="宋体"/>
          <w:b w:val="0"/>
          <w:sz w:val="22"/>
        </w:rPr>
        <w:t>土地财政曾经是地方政府筹集城市建设资金的重要方式，土地出让收入、土地抵押融资和城投平台共同支撑了地方基础设施扩张。Gyourko等对中国土地财政进行系统分析，指出土地财政与城市化、地方政府行为和房地产市场紧密相连</w:t>
      </w:r>
      <w:r>
        <w:rPr>
          <w:rFonts w:ascii="宋体" w:hAnsi="宋体" w:eastAsia="宋体"/>
          <w:b w:val="0"/>
          <w:sz w:val="22"/>
          <w:vertAlign w:val="superscript"/>
        </w:rPr>
        <w:t>[1]</w:t>
      </w:r>
      <w:r>
        <w:rPr>
          <w:rFonts w:ascii="宋体" w:hAnsi="宋体" w:eastAsia="宋体"/>
          <w:b w:val="0"/>
          <w:sz w:val="22"/>
        </w:rPr>
        <w:t>；Wu从土地金融化角度说明，土地不仅是地方财政收入来源，也是城市开发融资的重要资产</w:t>
      </w:r>
      <w:r>
        <w:rPr>
          <w:rFonts w:ascii="宋体" w:hAnsi="宋体" w:eastAsia="宋体"/>
          <w:b w:val="0"/>
          <w:sz w:val="22"/>
          <w:vertAlign w:val="superscript"/>
        </w:rPr>
        <w:t>[2]</w:t>
      </w:r>
      <w:r>
        <w:rPr>
          <w:rFonts w:ascii="宋体" w:hAnsi="宋体" w:eastAsia="宋体"/>
          <w:b w:val="0"/>
          <w:sz w:val="22"/>
        </w:rPr>
        <w:t>。随着土地出让收入下降和房地产市场调整，地方政府依靠土地扩张的发展模式受到限制。土地财政依赖度下降可能通过政府补贴减少、融资约束加重影响企业投资不足，也可能通过削弱政府干预和房地产导向投资减少企业过度投资。</w:t>
      </w:r>
    </w:p>
    <w:p w14:paraId="128E36E3">
      <w:pPr>
        <w:spacing w:after="160" w:line="300" w:lineRule="auto"/>
        <w:ind w:firstLine="440"/>
        <w:jc w:val="both"/>
      </w:pPr>
      <w:r>
        <w:rPr>
          <w:rFonts w:ascii="宋体" w:hAnsi="宋体" w:eastAsia="宋体"/>
          <w:b w:val="0"/>
          <w:sz w:val="22"/>
        </w:rPr>
        <w:t>现有研究主要形成三条脉络。第一，土地财政制度研究关注土地财政的形成机制和宏观风险，强调土地财政与地方债、城市扩张和土地金融化之间的联系</w:t>
      </w:r>
      <w:r>
        <w:rPr>
          <w:rFonts w:ascii="宋体" w:hAnsi="宋体" w:eastAsia="宋体"/>
          <w:b w:val="0"/>
          <w:sz w:val="22"/>
          <w:vertAlign w:val="superscript"/>
        </w:rPr>
        <w:t>[1]</w:t>
      </w:r>
      <w:r>
        <w:rPr>
          <w:rFonts w:ascii="宋体" w:hAnsi="宋体" w:eastAsia="宋体"/>
          <w:b w:val="0"/>
          <w:sz w:val="22"/>
        </w:rPr>
        <w:t>。第二，土地财政与企业行为研究关注政府财政激励如何影响企业决策，Chen等发现土地财政会通过地方政府税收征管影响企业避税行为</w:t>
      </w:r>
      <w:r>
        <w:rPr>
          <w:rFonts w:ascii="宋体" w:hAnsi="宋体" w:eastAsia="宋体"/>
          <w:b w:val="0"/>
          <w:sz w:val="22"/>
          <w:vertAlign w:val="superscript"/>
        </w:rPr>
        <w:t>[3]</w:t>
      </w:r>
      <w:r>
        <w:rPr>
          <w:rFonts w:ascii="宋体" w:hAnsi="宋体" w:eastAsia="宋体"/>
          <w:b w:val="0"/>
          <w:sz w:val="22"/>
        </w:rPr>
        <w:t>。第三，土地资源配置与企业投资研究开始讨论土地错配的微观后果，Wang等发现土地资源双重错配会加剧企业过度投资</w:t>
      </w:r>
      <w:r>
        <w:rPr>
          <w:rFonts w:ascii="宋体" w:hAnsi="宋体" w:eastAsia="宋体"/>
          <w:b w:val="0"/>
          <w:sz w:val="22"/>
          <w:vertAlign w:val="superscript"/>
        </w:rPr>
        <w:t>[4]</w:t>
      </w:r>
      <w:r>
        <w:rPr>
          <w:rFonts w:ascii="宋体" w:hAnsi="宋体" w:eastAsia="宋体"/>
          <w:b w:val="0"/>
          <w:sz w:val="22"/>
        </w:rPr>
        <w:t>；Shao等进一步研究土地财政“刹车”对实体企业投资决策的影响，发现土地财政调整会影响企业投资和生产升级</w:t>
      </w:r>
      <w:r>
        <w:rPr>
          <w:rFonts w:ascii="宋体" w:hAnsi="宋体" w:eastAsia="宋体"/>
          <w:b w:val="0"/>
          <w:sz w:val="22"/>
          <w:vertAlign w:val="superscript"/>
        </w:rPr>
        <w:t>[5]</w:t>
      </w:r>
      <w:r>
        <w:rPr>
          <w:rFonts w:ascii="宋体" w:hAnsi="宋体" w:eastAsia="宋体"/>
          <w:b w:val="0"/>
          <w:sz w:val="22"/>
        </w:rPr>
        <w:t>。这些研究说明，土地财政变化能够通过地方政府行为、土地资源配置和企业融资环境进入企业投资决策。</w:t>
      </w:r>
    </w:p>
    <w:p w14:paraId="0AEC8AB2">
      <w:pPr>
        <w:spacing w:after="160" w:line="300" w:lineRule="auto"/>
        <w:ind w:firstLine="440"/>
        <w:jc w:val="both"/>
      </w:pPr>
      <w:bookmarkStart w:id="0" w:name="_GoBack"/>
      <w:bookmarkEnd w:id="0"/>
      <w:r>
        <w:rPr>
          <w:rFonts w:ascii="宋体" w:hAnsi="宋体" w:eastAsia="宋体"/>
          <w:b w:val="0"/>
          <w:sz w:val="22"/>
        </w:rPr>
        <w:t>这一题目的研究空白在于，不仅考察土地财政下降是否影响企业投资效率，还进一步区分影响来自过度投资减少，还是投资不足加剧</w:t>
      </w:r>
      <w:r>
        <w:rPr>
          <w:rFonts w:ascii="宋体" w:hAnsi="宋体" w:eastAsia="宋体"/>
          <w:b w:val="0"/>
          <w:sz w:val="22"/>
          <w:vertAlign w:val="superscript"/>
        </w:rPr>
        <w:t>[4]</w:t>
      </w:r>
      <w:r>
        <w:rPr>
          <w:rFonts w:ascii="宋体" w:hAnsi="宋体" w:eastAsia="宋体"/>
          <w:b w:val="0"/>
          <w:sz w:val="22"/>
        </w:rPr>
        <w:t>。具体边际贡献可以设定为：使用企业投资效率模型将非效率投资拆分为过度投资和投资不足，并检验政府补助减少、融资约束上升是否是土地财政依赖度下降影响投资不足的机制。变量上，被解释变量可使用企业实际投资偏离程度；解释变量可使用城市土地出让收入占地方财政收入比重的下降幅度；机制变量可使用政府补助占营业收入比重、融资约束指数和债务成本。该主题的实证难度高于省级面板研究，需要企业数据、城市土地财政数据和企业—城市匹配；如果不能获得CSMAR、Wind和土地出让收入数据，应谨慎作为主选题。</w:t>
      </w:r>
    </w:p>
    <w:p w14:paraId="353C3397">
      <w:pPr>
        <w:spacing w:before="200" w:after="120"/>
      </w:pPr>
      <w:r>
        <w:rPr>
          <w:rFonts w:ascii="黑体" w:hAnsi="黑体" w:eastAsia="黑体"/>
          <w:b/>
          <w:color w:val="2E74B5"/>
          <w:sz w:val="26"/>
        </w:rPr>
        <w:t>参考文献</w:t>
      </w:r>
    </w:p>
    <w:p w14:paraId="2484338E">
      <w:pPr>
        <w:spacing w:after="80" w:line="276" w:lineRule="auto"/>
        <w:ind w:left="360" w:hanging="360"/>
      </w:pPr>
      <w:r>
        <w:rPr>
          <w:rFonts w:ascii="宋体" w:hAnsi="宋体" w:eastAsia="宋体"/>
          <w:b w:val="0"/>
          <w:sz w:val="21"/>
        </w:rPr>
        <w:t>[1] GYOURKO J, SHEN Y, WU J, et al. Land finance in China: Analysis and review[J]. China Economic Review, 2022, 76: 101868. DOI: 10.1016/j.chieco.2022.101868.</w:t>
      </w:r>
    </w:p>
    <w:p w14:paraId="3B344D01">
      <w:pPr>
        <w:spacing w:after="80" w:line="276" w:lineRule="auto"/>
        <w:ind w:left="360" w:hanging="360"/>
      </w:pPr>
      <w:r>
        <w:rPr>
          <w:rFonts w:ascii="宋体" w:hAnsi="宋体" w:eastAsia="宋体"/>
          <w:b w:val="0"/>
          <w:sz w:val="21"/>
        </w:rPr>
        <w:t>[2] WU F L. Land financialisation and the financing of urban development in China[J]. Land Use Policy, 2022, 112: 104412. DOI: 10.1016/j.landusepol.2019.104412.</w:t>
      </w:r>
    </w:p>
    <w:p w14:paraId="3BFB7DE4">
      <w:pPr>
        <w:spacing w:after="80" w:line="276" w:lineRule="auto"/>
        <w:ind w:left="360" w:hanging="360"/>
      </w:pPr>
      <w:r>
        <w:rPr>
          <w:rFonts w:ascii="宋体" w:hAnsi="宋体" w:eastAsia="宋体"/>
          <w:b w:val="0"/>
          <w:sz w:val="21"/>
        </w:rPr>
        <w:t>[3] CHEN T, TAN Y C, WANG J H, et al. The Unintended Consequence of Land Finance: Evidence from Corporate Tax Avoidance[J]. Management Science, 2022, 68(11): 8319-8342. DOI: 10.1287/mnsc.2021.4191.</w:t>
      </w:r>
    </w:p>
    <w:p w14:paraId="7044925C">
      <w:pPr>
        <w:spacing w:after="80" w:line="276" w:lineRule="auto"/>
        <w:ind w:left="360" w:hanging="360"/>
      </w:pPr>
      <w:r>
        <w:rPr>
          <w:rFonts w:ascii="宋体" w:hAnsi="宋体" w:eastAsia="宋体"/>
          <w:b w:val="0"/>
          <w:sz w:val="21"/>
        </w:rPr>
        <w:t>[4] WANG M, PENG S G, YANG H D, et al. The impact of land resources dual misallocation on the over-investment of enterprises[J]. 资源科学, 2024, 46(11): 2263-2277. DOI: 10.18402/resci.2024.11.13.</w:t>
      </w:r>
    </w:p>
    <w:p w14:paraId="31ED368D">
      <w:pPr>
        <w:spacing w:after="80" w:line="276" w:lineRule="auto"/>
        <w:ind w:left="360" w:hanging="360"/>
      </w:pPr>
      <w:r>
        <w:rPr>
          <w:rFonts w:ascii="宋体" w:hAnsi="宋体" w:eastAsia="宋体"/>
          <w:b w:val="0"/>
          <w:sz w:val="21"/>
        </w:rPr>
        <w:t>[5] SHAO W B, CHEN Y F, ZHU H. Does the “Braking” of China’s land finance facilitate economic “Shift Gears”? Evidence from investment decisions of real firms[J]. Structural Change and Economic Dynamics, 2025, 73: 223-237. DOI: 10.1016/j.strueco.2025.01.006.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DFE54">
    <w:pPr>
      <w:pStyle w:val="24"/>
      <w:jc w:val="center"/>
    </w:pPr>
    <w:r>
      <w:rPr>
        <w:rFonts w:ascii="宋体" w:hAnsi="宋体" w:eastAsia="宋体"/>
        <w:b w:val="0"/>
        <w:color w:val="555555"/>
        <w:sz w:val="18"/>
      </w:rPr>
      <w:t>土地财政依赖度下降与企业投资效率：过度投资抑制还是投资不足加剧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7C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1048</Words>
  <Characters>1760</Characters>
  <Lines>0</Lines>
  <Paragraphs>0</Paragraphs>
  <TotalTime>0</TotalTime>
  <ScaleCrop>false</ScaleCrop>
  <LinksUpToDate>false</LinksUpToDate>
  <CharactersWithSpaces>1896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11h</cp:lastModifiedBy>
  <dcterms:modified xsi:type="dcterms:W3CDTF">2026-05-27T09:29:53Z</dcterms:modified>
  <dc:subject>金融学大创文献综述</dc:subject>
  <dc:title>土地财政依赖度下降与企业投资效率：过度投资抑制还是投资不足加剧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eyJoZGlkIjoiNjg5ZWExOTVhMTMwYjA4ODY3MThmMWFjZGMyNWQxMzMiLCJ1c2VySWQiOiI1MzE4MzQ1OTcifQ==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8F13712A66BD41498B5C5BF82536C494_12</vt:lpwstr>
  </property>
</Properties>
</file>