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F2AC0">
      <w:pPr>
        <w:spacing w:after="320"/>
        <w:jc w:val="center"/>
      </w:pPr>
      <w:r>
        <w:rPr>
          <w:rFonts w:ascii="黑体" w:hAnsi="黑体" w:eastAsia="黑体"/>
          <w:b/>
          <w:color w:val="0B2545"/>
          <w:sz w:val="32"/>
        </w:rPr>
        <w:t>地方政府债务压力、数字金融与区域数字经济发展</w:t>
      </w:r>
    </w:p>
    <w:p w14:paraId="6933EC1C">
      <w:pPr>
        <w:spacing w:after="160" w:line="300" w:lineRule="auto"/>
        <w:ind w:firstLine="440"/>
        <w:jc w:val="both"/>
      </w:pPr>
      <w:r>
        <w:rPr>
          <w:rFonts w:ascii="宋体" w:hAnsi="宋体" w:eastAsia="宋体"/>
          <w:b w:val="0"/>
          <w:sz w:val="22"/>
        </w:rPr>
        <w:t>数字经济发展依赖数字基础设施、企业数字化投入、研发活动和金融支持，而地方政府债务压力会通过偿债约束、城投融资安排和信贷资源配置影响地方发展空间。He等使用2011—2022年地级及以上城市面板数据发现，地方政府债务融资规模与城市数字经济发展存在显著负向关系，且这种负向关系在非中心城市、政策强度较低城市和研发强度较低城市更明显</w:t>
      </w:r>
      <w:r>
        <w:rPr>
          <w:rFonts w:ascii="宋体" w:hAnsi="宋体" w:eastAsia="宋体"/>
          <w:b w:val="0"/>
          <w:sz w:val="22"/>
          <w:vertAlign w:val="superscript"/>
        </w:rPr>
        <w:t>[1]</w:t>
      </w:r>
      <w:r>
        <w:rPr>
          <w:rFonts w:ascii="宋体" w:hAnsi="宋体" w:eastAsia="宋体"/>
          <w:b w:val="0"/>
          <w:sz w:val="22"/>
        </w:rPr>
        <w:t>。Yang等基于中国上市公司数据进一步发现，地方政府债务扩张会抑制企业数字化转型，其机制包括企业融资约束强化和投资偏好扭曲</w:t>
      </w:r>
      <w:r>
        <w:rPr>
          <w:rFonts w:ascii="宋体" w:hAnsi="宋体" w:eastAsia="宋体"/>
          <w:b w:val="0"/>
          <w:sz w:val="22"/>
          <w:vertAlign w:val="superscript"/>
        </w:rPr>
        <w:t>[2]</w:t>
      </w:r>
      <w:r>
        <w:rPr>
          <w:rFonts w:ascii="宋体" w:hAnsi="宋体" w:eastAsia="宋体"/>
          <w:b w:val="0"/>
          <w:sz w:val="22"/>
        </w:rPr>
        <w:t>。这些研究说明，地方债问题已经不只是财政风险问题，也会进入企业数字化和区域数字经济发展过程。数字金融可能提供一个缓冲渠道：其覆盖广度和使用深度提高后，金融服务更容易到达小微企业和创新主体，融资便利度提升，地方债压力对数字经济的挤压可能被削弱。</w:t>
      </w:r>
    </w:p>
    <w:p w14:paraId="2C4BCB2C">
      <w:pPr>
        <w:spacing w:after="160" w:line="300" w:lineRule="auto"/>
        <w:ind w:firstLine="440"/>
        <w:jc w:val="both"/>
      </w:pPr>
      <w:r>
        <w:rPr>
          <w:rFonts w:ascii="宋体" w:hAnsi="宋体" w:eastAsia="宋体"/>
          <w:b w:val="0"/>
          <w:sz w:val="22"/>
        </w:rPr>
        <w:t>国内外研究主要形成三条脉络。第一，地方债经济后果研究从增长效应扩展到资源配置效应，尤其关注地方债对企业投资、数字化转型和区域创新的影响</w:t>
      </w:r>
      <w:r>
        <w:rPr>
          <w:rFonts w:ascii="宋体" w:hAnsi="宋体" w:eastAsia="宋体"/>
          <w:b w:val="0"/>
          <w:sz w:val="22"/>
          <w:vertAlign w:val="superscript"/>
        </w:rPr>
        <w:t>[2]</w:t>
      </w:r>
      <w:r>
        <w:rPr>
          <w:rFonts w:ascii="宋体" w:hAnsi="宋体" w:eastAsia="宋体"/>
          <w:b w:val="0"/>
          <w:sz w:val="22"/>
        </w:rPr>
        <w:t>。第二，数字金融研究强调普惠金融、支付便利和信贷可得性，Fu和Yi利用北大数字普惠金融指数对中国省级数字金融发展进行比较，说明该指数可以作为区域数字金融研究的重要测度工具</w:t>
      </w:r>
      <w:r>
        <w:rPr>
          <w:rFonts w:ascii="宋体" w:hAnsi="宋体" w:eastAsia="宋体"/>
          <w:b w:val="0"/>
          <w:sz w:val="22"/>
          <w:vertAlign w:val="superscript"/>
        </w:rPr>
        <w:t>[3]</w:t>
      </w:r>
      <w:r>
        <w:rPr>
          <w:rFonts w:ascii="宋体" w:hAnsi="宋体" w:eastAsia="宋体"/>
          <w:b w:val="0"/>
          <w:sz w:val="22"/>
        </w:rPr>
        <w:t>。第三，数字金融与财政债务风险研究开始关注财政透明度机制，Zha和Li发现数字金融可以通过财政透明度降低地方政府债务风险</w:t>
      </w:r>
      <w:r>
        <w:rPr>
          <w:rFonts w:ascii="宋体" w:hAnsi="宋体" w:eastAsia="宋体"/>
          <w:b w:val="0"/>
          <w:sz w:val="22"/>
          <w:vertAlign w:val="superscript"/>
        </w:rPr>
        <w:t>[4]</w:t>
      </w:r>
      <w:r>
        <w:rPr>
          <w:rFonts w:ascii="宋体" w:hAnsi="宋体" w:eastAsia="宋体"/>
          <w:b w:val="0"/>
          <w:sz w:val="22"/>
        </w:rPr>
        <w:t>；Chen等则发现数字普惠金融发展会影响地方政府支出扩张，说明数字金融并非只作用于企业和居民，也会影响地方财政行为</w:t>
      </w:r>
      <w:r>
        <w:rPr>
          <w:rFonts w:ascii="宋体" w:hAnsi="宋体" w:eastAsia="宋体"/>
          <w:b w:val="0"/>
          <w:sz w:val="22"/>
          <w:vertAlign w:val="superscript"/>
        </w:rPr>
        <w:t>[5]</w:t>
      </w:r>
      <w:r>
        <w:rPr>
          <w:rFonts w:ascii="宋体" w:hAnsi="宋体" w:eastAsia="宋体"/>
          <w:b w:val="0"/>
          <w:sz w:val="22"/>
        </w:rPr>
        <w:t>。现有研究为“地方债—数字经济”和“数字金融—财政风险”分别提供了证据，但两条文献之间仍需要更清楚的连接。</w:t>
      </w:r>
    </w:p>
    <w:p w14:paraId="11E1DF70">
      <w:pPr>
        <w:spacing w:after="160" w:line="300" w:lineRule="auto"/>
        <w:ind w:firstLine="440"/>
        <w:jc w:val="both"/>
      </w:pPr>
      <w:bookmarkStart w:id="0" w:name="_GoBack"/>
      <w:bookmarkEnd w:id="0"/>
      <w:r>
        <w:rPr>
          <w:rFonts w:ascii="宋体" w:hAnsi="宋体" w:eastAsia="宋体"/>
          <w:b w:val="0"/>
          <w:sz w:val="22"/>
        </w:rPr>
        <w:t>该方向的研究空白不在于重新证明地方债影响数字经济，而在于识别数字金融的缓冲作用，并比较覆盖广度、使用深度和数字化程度三个分项哪一个缓冲效果更强</w:t>
      </w:r>
      <w:r>
        <w:rPr>
          <w:rFonts w:ascii="宋体" w:hAnsi="宋体" w:eastAsia="宋体"/>
          <w:b w:val="0"/>
          <w:sz w:val="22"/>
          <w:vertAlign w:val="superscript"/>
        </w:rPr>
        <w:t>[3]</w:t>
      </w:r>
      <w:r>
        <w:rPr>
          <w:rFonts w:ascii="宋体" w:hAnsi="宋体" w:eastAsia="宋体"/>
          <w:b w:val="0"/>
          <w:sz w:val="22"/>
        </w:rPr>
        <w:t>。在变量设计上，被解释变量可使用北京大学数字经济指数，也可以用互联网宽带用户、软件业务收入、数字基础设施水平等替代指标进行稳健性检验；解释变量可使用地方政府债务余额与GDP之比；调节变量可使用北大数字普惠金融指数。需要注意的是，普通双向固定效应模型只能支持相关关系判断，若要使用因果表述，应进一步引入政策冲击、工具变量或准自然实验。</w:t>
      </w:r>
    </w:p>
    <w:p w14:paraId="788DB612">
      <w:pPr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参考文献</w:t>
      </w:r>
    </w:p>
    <w:p w14:paraId="45696C64">
      <w:pPr>
        <w:spacing w:after="80" w:line="276" w:lineRule="auto"/>
        <w:ind w:left="360" w:hanging="360"/>
      </w:pPr>
      <w:r>
        <w:rPr>
          <w:rFonts w:ascii="宋体" w:hAnsi="宋体" w:eastAsia="宋体"/>
          <w:b w:val="0"/>
          <w:sz w:val="21"/>
        </w:rPr>
        <w:t>[1] HE L, WANG S Z, JIANG Z. Does Government Debt Inhibit Urban Digital Economic Development? An Analysis Based on Panel Data of Chinese Cities at Prefecture Level and Above[J]. Journal of South China University of Technology(Social Science Edition), 2025, 27(4): 46-61. DOI: 10.19366/j.cnki.1009-055X.2025.04.005.</w:t>
      </w:r>
    </w:p>
    <w:p w14:paraId="509C4181">
      <w:pPr>
        <w:spacing w:after="80" w:line="276" w:lineRule="auto"/>
        <w:ind w:left="360" w:hanging="360"/>
      </w:pPr>
      <w:r>
        <w:rPr>
          <w:rFonts w:ascii="宋体" w:hAnsi="宋体" w:eastAsia="宋体"/>
          <w:b w:val="0"/>
          <w:sz w:val="21"/>
        </w:rPr>
        <w:t>[2] YANG Y, CHEN W Y, YU Z X. Local government debt and corporate digital transformation: Evidence from China[J]. Finance Research Letters, 2023, 57: 104282. DOI: 10.1016/j.frl.2023.104282.</w:t>
      </w:r>
    </w:p>
    <w:p w14:paraId="6A21A84C">
      <w:pPr>
        <w:spacing w:after="80" w:line="276" w:lineRule="auto"/>
        <w:ind w:left="360" w:hanging="360"/>
      </w:pPr>
      <w:r>
        <w:rPr>
          <w:rFonts w:ascii="宋体" w:hAnsi="宋体" w:eastAsia="宋体"/>
          <w:b w:val="0"/>
          <w:sz w:val="21"/>
        </w:rPr>
        <w:t>[3] FU Y L, YI Z L. Multi-province comparisons of digital financial inclusion performance in China: A group ranking method with preference analysis[J]. China Economic Review, 2023, 80: 102014. DOI: 10.1016/j.chieco.2023.102014.</w:t>
      </w:r>
    </w:p>
    <w:p w14:paraId="4BCB8AA5">
      <w:pPr>
        <w:spacing w:after="80" w:line="276" w:lineRule="auto"/>
        <w:ind w:left="360" w:hanging="360"/>
      </w:pPr>
      <w:r>
        <w:rPr>
          <w:rFonts w:ascii="宋体" w:hAnsi="宋体" w:eastAsia="宋体"/>
          <w:b w:val="0"/>
          <w:sz w:val="21"/>
        </w:rPr>
        <w:t>[4] ZHA H F, LI W. Digital Finance, Fiscal Transparency and Government Debt Risk[J]. Journal of Risk Analysis and Crisis Response, 2022, 12(4-1): 155-169. DOI: 10.54560/jracr.v12i4.341.</w:t>
      </w:r>
    </w:p>
    <w:p w14:paraId="20F125A6">
      <w:pPr>
        <w:spacing w:after="80" w:line="276" w:lineRule="auto"/>
        <w:ind w:left="360" w:hanging="360"/>
      </w:pPr>
      <w:r>
        <w:rPr>
          <w:rFonts w:ascii="宋体" w:hAnsi="宋体" w:eastAsia="宋体"/>
          <w:b w:val="0"/>
          <w:sz w:val="21"/>
        </w:rPr>
        <w:t>[5] CHEN Y R, HUANG Q, ZHANG Q Y. The impact of digital inclusive financial development on local government expenditure: Evidence from China[J]. PLOS ONE, 2024, 19(5): e0300775. DOI: 10.1371/journal.pone.0300775.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88FB6">
    <w:pPr>
      <w:pStyle w:val="24"/>
      <w:jc w:val="center"/>
    </w:pPr>
    <w:r>
      <w:rPr>
        <w:rFonts w:ascii="宋体" w:hAnsi="宋体" w:eastAsia="宋体"/>
        <w:b w:val="0"/>
        <w:color w:val="555555"/>
        <w:sz w:val="18"/>
      </w:rPr>
      <w:t>地方政府债务压力、数字金融与区域数字经济发展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AD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1144</Words>
  <Characters>1994</Characters>
  <Lines>0</Lines>
  <Paragraphs>0</Paragraphs>
  <TotalTime>0</TotalTime>
  <ScaleCrop>false</ScaleCrop>
  <LinksUpToDate>false</LinksUpToDate>
  <CharactersWithSpaces>2147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11h</cp:lastModifiedBy>
  <dcterms:modified xsi:type="dcterms:W3CDTF">2026-05-27T09:30:01Z</dcterms:modified>
  <dc:subject>金融学大创文献综述</dc:subject>
  <dc:title>地方政府债务压力、数字金融与区域数字经济发展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eyJoZGlkIjoiNjg5ZWExOTVhMTMwYjA4ODY3MThmMWFjZGMyNWQxMzMiLCJ1c2VySWQiOiI1MzE4MzQ1OTcifQ==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6BF367F6A42A4D96AC0027B2231F5602_12</vt:lpwstr>
  </property>
</Properties>
</file>