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013383">
      <w:pPr>
        <w:spacing w:after="320"/>
        <w:jc w:val="center"/>
      </w:pPr>
      <w:r>
        <w:rPr>
          <w:rFonts w:ascii="黑体" w:hAnsi="黑体" w:eastAsia="黑体"/>
          <w:b/>
          <w:color w:val="0B2545"/>
          <w:sz w:val="32"/>
        </w:rPr>
        <w:t>地方政府债务压力</w:t>
      </w:r>
      <w:r>
        <w:rPr>
          <w:rFonts w:hint="eastAsia" w:ascii="黑体" w:hAnsi="黑体" w:eastAsia="黑体"/>
          <w:b/>
          <w:color w:val="0B2545"/>
          <w:sz w:val="32"/>
          <w:lang w:eastAsia="zh-CN"/>
        </w:rPr>
        <w:t>、</w:t>
      </w:r>
      <w:r>
        <w:rPr>
          <w:rFonts w:ascii="黑体" w:hAnsi="黑体" w:eastAsia="黑体"/>
          <w:b/>
          <w:color w:val="0B2545"/>
          <w:sz w:val="32"/>
        </w:rPr>
        <w:t>数字金融与民生性财政支出结构</w:t>
      </w:r>
    </w:p>
    <w:p w14:paraId="42A1B12C">
      <w:pPr>
        <w:spacing w:after="160" w:line="300" w:lineRule="auto"/>
        <w:ind w:firstLine="440"/>
        <w:jc w:val="both"/>
      </w:pPr>
      <w:r>
        <w:rPr>
          <w:rFonts w:ascii="宋体" w:hAnsi="宋体" w:eastAsia="宋体"/>
          <w:b w:val="0"/>
          <w:sz w:val="22"/>
        </w:rPr>
        <w:t>社会保障、教育和卫生健康支出属于典型民生性财政支出，直接关系居民基本福利和公共服务均等化。地方政府债务压力上升后，偿债安排和再融资压力会压缩地方财政可支配空间，进而可能改变民生支出结构。Lin指出，中国财政体制改革需要面对人口老龄化带来的社保、医疗等支出增长压力，同时地方政府债务扩张也会加重财政约束</w:t>
      </w:r>
      <w:r>
        <w:rPr>
          <w:rFonts w:ascii="宋体" w:hAnsi="宋体" w:eastAsia="宋体"/>
          <w:b w:val="0"/>
          <w:sz w:val="22"/>
          <w:vertAlign w:val="superscript"/>
        </w:rPr>
        <w:t>[1]</w:t>
      </w:r>
      <w:r>
        <w:rPr>
          <w:rFonts w:ascii="宋体" w:hAnsi="宋体" w:eastAsia="宋体"/>
          <w:b w:val="0"/>
          <w:sz w:val="22"/>
        </w:rPr>
        <w:t>。在这一背景下，研究地方政府债务压力是否挤出民生性财政支出，不仅有助于理解地方债的财政后果，也能回应基本公共服务保障问题。数字金融可能通过提高金融服务效率、增强财政透明度和改善地方经济活力，减弱债务压力对民生支出的挤压。</w:t>
      </w:r>
    </w:p>
    <w:p w14:paraId="30D60A89">
      <w:pPr>
        <w:spacing w:after="160" w:line="300" w:lineRule="auto"/>
        <w:ind w:firstLine="440"/>
        <w:jc w:val="both"/>
      </w:pPr>
      <w:r>
        <w:rPr>
          <w:rFonts w:ascii="宋体" w:hAnsi="宋体" w:eastAsia="宋体"/>
          <w:b w:val="0"/>
          <w:sz w:val="22"/>
        </w:rPr>
        <w:t>现有研究可分为三类。第一类研究社会保障支出效率和地区差异，Hu等使用中国省级数据构建三阶段DEA模型，发现社会保障支出效率存在明显地区差异</w:t>
      </w:r>
      <w:r>
        <w:rPr>
          <w:rFonts w:ascii="宋体" w:hAnsi="宋体" w:eastAsia="宋体"/>
          <w:b w:val="0"/>
          <w:sz w:val="22"/>
          <w:vertAlign w:val="superscript"/>
        </w:rPr>
        <w:t>[2]</w:t>
      </w:r>
      <w:r>
        <w:rPr>
          <w:rFonts w:ascii="宋体" w:hAnsi="宋体" w:eastAsia="宋体"/>
          <w:b w:val="0"/>
          <w:sz w:val="22"/>
        </w:rPr>
        <w:t>。第二类研究财政体制与社会保障支出的关系，Li和Jiao发现中央财政转移支付会改变中国社会保障制度的支出格局</w:t>
      </w:r>
      <w:r>
        <w:rPr>
          <w:rFonts w:ascii="宋体" w:hAnsi="宋体" w:eastAsia="宋体"/>
          <w:b w:val="0"/>
          <w:sz w:val="22"/>
          <w:vertAlign w:val="superscript"/>
        </w:rPr>
        <w:t>[3]</w:t>
      </w:r>
      <w:r>
        <w:rPr>
          <w:rFonts w:ascii="宋体" w:hAnsi="宋体" w:eastAsia="宋体"/>
          <w:b w:val="0"/>
          <w:sz w:val="22"/>
        </w:rPr>
        <w:t>；Wu等从转移支付结构出发，说明地方财政收入结构会影响财政支出效率</w:t>
      </w:r>
      <w:r>
        <w:rPr>
          <w:rFonts w:ascii="宋体" w:hAnsi="宋体" w:eastAsia="宋体"/>
          <w:b w:val="0"/>
          <w:sz w:val="22"/>
          <w:vertAlign w:val="superscript"/>
        </w:rPr>
        <w:t>[4]</w:t>
      </w:r>
      <w:r>
        <w:rPr>
          <w:rFonts w:ascii="宋体" w:hAnsi="宋体" w:eastAsia="宋体"/>
          <w:b w:val="0"/>
          <w:sz w:val="22"/>
        </w:rPr>
        <w:t>。第三类研究数字金融与地方财政行为，Chen等发现数字普惠金融发展会影响地方政府支出</w:t>
      </w:r>
      <w:r>
        <w:rPr>
          <w:rFonts w:ascii="宋体" w:hAnsi="宋体" w:eastAsia="宋体"/>
          <w:b w:val="0"/>
          <w:sz w:val="22"/>
          <w:vertAlign w:val="superscript"/>
        </w:rPr>
        <w:t>[5]</w:t>
      </w:r>
      <w:r>
        <w:rPr>
          <w:rFonts w:ascii="宋体" w:hAnsi="宋体" w:eastAsia="宋体"/>
          <w:b w:val="0"/>
          <w:sz w:val="22"/>
        </w:rPr>
        <w:t>，Zha和Li则指出数字金融可以通过财政透明度降低地方政府债务风险</w:t>
      </w:r>
      <w:r>
        <w:rPr>
          <w:rFonts w:ascii="宋体" w:hAnsi="宋体" w:eastAsia="宋体"/>
          <w:b w:val="0"/>
          <w:sz w:val="22"/>
          <w:vertAlign w:val="superscript"/>
        </w:rPr>
        <w:t>[6]</w:t>
      </w:r>
      <w:r>
        <w:rPr>
          <w:rFonts w:ascii="宋体" w:hAnsi="宋体" w:eastAsia="宋体"/>
          <w:b w:val="0"/>
          <w:sz w:val="22"/>
        </w:rPr>
        <w:t>。这些文献分别解释了社会保障支出效率、财政体制约束和数字金融的财政作用，但对地方债压力、数字金融和民生性支出结构三者的联动关注仍不足。</w:t>
      </w:r>
    </w:p>
    <w:p w14:paraId="71C11418">
      <w:pPr>
        <w:spacing w:after="160" w:line="300" w:lineRule="auto"/>
        <w:ind w:firstLine="440"/>
        <w:jc w:val="both"/>
      </w:pPr>
      <w:bookmarkStart w:id="0" w:name="_GoBack"/>
      <w:bookmarkEnd w:id="0"/>
      <w:r>
        <w:rPr>
          <w:rFonts w:ascii="宋体" w:hAnsi="宋体" w:eastAsia="宋体"/>
          <w:b w:val="0"/>
          <w:sz w:val="22"/>
        </w:rPr>
        <w:t>与单独考察社会保障支出相比，民生性财政支出结构能够同时纳入社会保障、教育和卫生健康支出，避免社会保障支出刚性较强导致结果不稳定的问题</w:t>
      </w:r>
      <w:r>
        <w:rPr>
          <w:rFonts w:ascii="宋体" w:hAnsi="宋体" w:eastAsia="宋体"/>
          <w:b w:val="0"/>
          <w:sz w:val="22"/>
          <w:vertAlign w:val="superscript"/>
        </w:rPr>
        <w:t>[2]</w:t>
      </w:r>
      <w:r>
        <w:rPr>
          <w:rFonts w:ascii="宋体" w:hAnsi="宋体" w:eastAsia="宋体"/>
          <w:b w:val="0"/>
          <w:sz w:val="22"/>
        </w:rPr>
        <w:t>。具体边际贡献可以设定为：检验数字金融是否削弱地方债压力与民生性财政支出占比之间的负向关系，并比较社会保障、教育、卫生健康三类支出的敏感性差异。变量上，被解释变量可使用各类民生支出占一般公共预算支出的比重，同时使用人均支出和支出增长率做稳健性检验；解释变量可使用地方政府债务余额与GDP之比；调节变量可使用北大数字普惠金融指数。若研究只采用省级双向固定效应模型，结论应限定为相关关系，不能直接表述为因果效应。</w:t>
      </w:r>
    </w:p>
    <w:p w14:paraId="39A3EF38">
      <w:pPr>
        <w:spacing w:before="200" w:after="120"/>
      </w:pPr>
      <w:r>
        <w:rPr>
          <w:rFonts w:ascii="黑体" w:hAnsi="黑体" w:eastAsia="黑体"/>
          <w:b/>
          <w:color w:val="2E74B5"/>
          <w:sz w:val="26"/>
        </w:rPr>
        <w:t>参考文献</w:t>
      </w:r>
    </w:p>
    <w:p w14:paraId="6FF58AFD">
      <w:pPr>
        <w:spacing w:after="80" w:line="276" w:lineRule="auto"/>
        <w:ind w:left="360" w:hanging="360"/>
      </w:pPr>
      <w:r>
        <w:rPr>
          <w:rFonts w:ascii="宋体" w:hAnsi="宋体" w:eastAsia="宋体"/>
          <w:b w:val="0"/>
          <w:sz w:val="21"/>
        </w:rPr>
        <w:t>[1] LIN S L. How to reform China’s fiscal system?[J]. China Economic Journal, 2020, 13(1): 62-81. DOI: 10.1080/17538963.2019.1691356.</w:t>
      </w:r>
    </w:p>
    <w:p w14:paraId="00FC2244">
      <w:pPr>
        <w:spacing w:after="80" w:line="276" w:lineRule="auto"/>
        <w:ind w:left="360" w:hanging="360"/>
      </w:pPr>
      <w:r>
        <w:rPr>
          <w:rFonts w:ascii="宋体" w:hAnsi="宋体" w:eastAsia="宋体"/>
          <w:b w:val="0"/>
          <w:sz w:val="21"/>
        </w:rPr>
        <w:t>[2] HU Y M, WU Y J, ZHOU W, et al. A three-stage DEA-based efficiency evaluation of social security expenditure in China[J]. PLOS ONE, 2020, 15(2): e0226046. DOI: 10.1371/journal.pone.0226046.</w:t>
      </w:r>
    </w:p>
    <w:p w14:paraId="57561749">
      <w:pPr>
        <w:spacing w:after="80" w:line="276" w:lineRule="auto"/>
        <w:ind w:left="360" w:hanging="360"/>
      </w:pPr>
      <w:r>
        <w:rPr>
          <w:rFonts w:ascii="宋体" w:hAnsi="宋体" w:eastAsia="宋体"/>
          <w:b w:val="0"/>
          <w:sz w:val="21"/>
        </w:rPr>
        <w:t>[3] LI X, JIAO C Q. Decentralised growth: have central fiscal transfers changed the landscape of the Chinese social security regime?[J]. Journal of Asian Public Policy, 2022, 17(1): 44-67. DOI: 10.1080/17516234.2022.2033610.</w:t>
      </w:r>
    </w:p>
    <w:p w14:paraId="327F9BEE">
      <w:pPr>
        <w:spacing w:after="80" w:line="276" w:lineRule="auto"/>
        <w:ind w:left="360" w:hanging="360"/>
      </w:pPr>
      <w:r>
        <w:rPr>
          <w:rFonts w:ascii="宋体" w:hAnsi="宋体" w:eastAsia="宋体"/>
          <w:b w:val="0"/>
          <w:sz w:val="21"/>
        </w:rPr>
        <w:t>[4] WU Y Q, HUANG Y, ZHAO J, et al. Transfer payment structure and local government fiscal efficiency: evidence from China[J]. China Finance and Economic Review, 2017, 5(1): 12. DOI: 10.1186/s40589-017-0058-y.</w:t>
      </w:r>
    </w:p>
    <w:p w14:paraId="7496FBC2">
      <w:pPr>
        <w:spacing w:after="80" w:line="276" w:lineRule="auto"/>
        <w:ind w:left="360" w:hanging="360"/>
      </w:pPr>
      <w:r>
        <w:rPr>
          <w:rFonts w:ascii="宋体" w:hAnsi="宋体" w:eastAsia="宋体"/>
          <w:b w:val="0"/>
          <w:sz w:val="21"/>
        </w:rPr>
        <w:t>[5] CHEN Y R, HUANG Q, ZHANG Q Y. The impact of digital inclusive financial development on local government expenditure: Evidence from China[J]. PLOS ONE, 2024, 19(5): e0300775. DOI: 10.1371/journal.pone.0300775.</w:t>
      </w:r>
    </w:p>
    <w:p w14:paraId="5C21D776">
      <w:pPr>
        <w:spacing w:after="80" w:line="276" w:lineRule="auto"/>
        <w:ind w:left="360" w:hanging="360"/>
      </w:pPr>
      <w:r>
        <w:rPr>
          <w:rFonts w:ascii="宋体" w:hAnsi="宋体" w:eastAsia="宋体"/>
          <w:b w:val="0"/>
          <w:sz w:val="21"/>
        </w:rPr>
        <w:t>[6] ZHA H F, LI W. Digital Finance, Fiscal Transparency and Government Debt Risk[J]. Journal of Risk Analysis and Crisis Response, 2022, 12(4-1): 155-169. DOI: 10.54560/jracr.v12i4.341.</w:t>
      </w:r>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2088C0">
    <w:pPr>
      <w:pStyle w:val="24"/>
      <w:jc w:val="center"/>
    </w:pPr>
    <w:r>
      <w:rPr>
        <w:rFonts w:ascii="宋体" w:hAnsi="宋体" w:eastAsia="宋体"/>
        <w:b w:val="0"/>
        <w:color w:val="555555"/>
        <w:sz w:val="18"/>
      </w:rPr>
      <w:t>地方政府债务压力、数字金融与民生性财政支出结构</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E53F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00" w:lineRule="auto"/>
    </w:pPr>
    <w:rPr>
      <w:rFonts w:ascii="宋体" w:hAnsi="宋体"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1048</Words>
  <Characters>1909</Characters>
  <Lines>0</Lines>
  <Paragraphs>0</Paragraphs>
  <TotalTime>1</TotalTime>
  <ScaleCrop>false</ScaleCrop>
  <LinksUpToDate>false</LinksUpToDate>
  <CharactersWithSpaces>2068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Codex</dc:creator>
  <dc:description>generated by python-docx</dc:description>
  <cp:lastModifiedBy>11h</cp:lastModifiedBy>
  <dcterms:modified xsi:type="dcterms:W3CDTF">2026-05-27T09:30:23Z</dcterms:modified>
  <dc:subject>金融学大创文献综述</dc:subject>
  <dc:title>地方政府债务压力、数字金融与民生性财政支出结构</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eyJoZGlkIjoiNjg5ZWExOTVhMTMwYjA4ODY3MThmMWFjZGMyNWQxMzMiLCJ1c2VySWQiOiI1MzE4MzQ1OTcifQ==</vt:lpwstr>
  </property>
  <property fmtid="{D5CDD505-2E9C-101B-9397-08002B2CF9AE}" pid="3" name="KSOProductBuildVer">
    <vt:lpwstr>2052-12.1.0.26375</vt:lpwstr>
  </property>
  <property fmtid="{D5CDD505-2E9C-101B-9397-08002B2CF9AE}" pid="4" name="ICV">
    <vt:lpwstr>BAA0022BD656459B96138C8DA742774A_12</vt:lpwstr>
  </property>
</Properties>
</file>