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УДК 621.313.333:004.8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Модельно-независимый самообучающийся алгоритм MIC AI (FOC+PPO) для энергоэффективного управления асинхронными двигателями разных типоразмеров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А. Н. Марикин¹, В. Г. Жемчугов¹, А. Д. Онофрийчук¹</w:t>
      </w:r>
    </w:p>
    <w:p>
      <w:pPr>
        <w:spacing w:before="0" w:after="120" w:line="240" w:lineRule="auto"/>
        <w:jc w:val="left"/>
      </w:pPr>
      <w:r>
        <w:rPr>
          <w:rFonts w:ascii="Times New Roman" w:hAnsi="Times New Roman" w:eastAsia="Times New Roman"/>
          <w:b w:val="0"/>
          <w:i w:val="0"/>
          <w:sz w:val="20"/>
        </w:rPr>
        <w:t>¹ Петербургский государственный университет путей сообщения Императора Александра I, Российская Федерация, 190031, Санкт-Петербург, Московский пр., 9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Для цитирования: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sz w:val="24"/>
        </w:rPr>
        <w:t>Марикин А. Н., Жемчугов В. Г., Онофрийчук А. Д. Модельно-независимый самообучающийся алгоритм MIC AI (FOC+PPO) для энергоэффективного управления асинхронными двигателями разных типоразмеров // Известия Петербургского государственного университета путей сообщения. СПб.: ПГУПС, 2026. – Т. xx, вып. xx. – С. xx–xx. DOI: (присваивается редакцией).</w:t>
      </w:r>
    </w:p>
    <w:p>
      <w:pPr>
        <w:spacing w:before="80" w:after="0" w:line="240" w:lineRule="auto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Аннотация.</w:t>
      </w:r>
    </w:p>
    <w:p>
      <w:pPr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Цель: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sz w:val="24"/>
        </w:rPr>
        <w:t>разработать и экспериментально проверить модельно-независимый алгоритм MIC AI, уменьшающий положительную составляющую входной мощности асинхронного электропривода в установившихся и периодических режимах без передачи параметров двигателя в контур принятия решений.</w:t>
      </w:r>
    </w:p>
    <w:p>
      <w:pPr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Методы: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sz w:val="24"/>
        </w:rPr>
        <w:t>предложена двухконтурная структура, где внутренний контур полевого ориентирования (FOC) обеспечивает регулирование токов и скорости, а внешний MIC AI-контур на основе обучения с подкреплением (PPO) формирует корректировку задания намагничивающего тока i_d,ref. Обучение выполнено в цифровом двойнике с рандомизацией пяти сценариев («установившийся режим», «ступень скорости», «разгон/торможение», «профиль нагрузки», «пуск—стоп»). Валидация проведена по детерминированному протоколу на трех двигателях (АИР56 0,25 кВт; АЛ-31-4 0,6 кВт; АО2-32-4 3,0 кВт). В метрики включены Pвх+(t)=max(Pвх(t),0), мощность на валу, интегральный КПД η=E2/Eвх и отношение ошибок по скорости ρ_MAE=MAE_MIC/MAE_FOC; дополнительно контролировалась работа нагрузки для исключения «мнимой экономии» за счет уменьшения механической работы.</w:t>
      </w:r>
    </w:p>
    <w:p>
      <w:pPr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Результаты: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sz w:val="24"/>
        </w:rPr>
        <w:t>средняя экономия Pвх+ составила 1,80 % на полном интервале и 1,31 % в установившемся окне (последние 30 % временного ряда; для режима «пуск—стоп» — участок плато при ωref≈const); при этом максимальное значение ρ_MAE не превысило 1,023. Неотрицательная экономия Pвх+ получена в 11 из 15 комбинаций «двигатель—сценарий». Наибольший выигрыш достигается в режиме «пуск—стоп», где оптимизация потока проявляется при многократных разгонах и торможениях.</w:t>
      </w:r>
    </w:p>
    <w:p>
      <w:pPr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Практическая значимость: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sz w:val="24"/>
        </w:rPr>
        <w:t>MIC AI внедряется как supervisory-надстройка над существующим FOC без вмешательства в силовой тракт и может быть перенесен на микроконтроллер (Arduino/STM32) через дистилляцию политики в таблицу LUT при сохранении протокола ограничений и критериев качества.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Ключевые слова: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sz w:val="24"/>
        </w:rPr>
        <w:t>асинхронный электропривод; векторное управление; FOC; энергоэффективность; оптимизация потока; обучение с подкреплением; PPO; цифровой двойник; модельно-независимое управление.</w:t>
      </w:r>
    </w:p>
    <w:p>
      <w:pPr>
        <w:spacing w:before="160" w:after="80" w:line="240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 Введение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Асинхронный электропривод с частотным преобразователем является базовой технологией транспорта и промышленности. При этом энергетические показатели привода определяются не только конструкцией двигателя, но и выбранной стратегией управления магнитным потоком, т. е. заданием намагничивающего тока </w:t>
      </w:r>
      <m:oMath xmlns:mml="http://www.w3.org/1998/Math/MathML"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в системе полевого ориентирования (FOC) [1–5]. На практике </w:t>
      </w:r>
      <m:oMath xmlns:mml="http://www.w3.org/1998/Math/MathML">
        <m:sSub>
          <m:e>
            <m:r>
              <m:t>i</m:t>
            </m:r>
          </m:e>
          <m:sub>
            <m:r>
              <m:t>d,ref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часто принимают постоянным или задают по упрощенным правилам, чтобы гарантировать запас по моменту и устойчивость в переходных процессах. Такой подход надежен, но в смешанных рабочих циклах (установившиеся участки, ступени скорости, разгон/торможение, переменная нагрузка, пуски и остановы) он не обеспечивает минимума потерь.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Классическая задача повышения КПД электропривода сводится к поиску компромисса между потерями в меди (рост при больших токах) и потерями в стали (рост при завышенном потоке). Для асинхронного двигателя это означает, что оптимальный поток зависит от режима, нагрузки и ограничения по току/напряжению. В литературе описаны методы оптимизации потока на основе модели потерь и методы экстремального поиска по измеряемым величинам [6, 7]. Их практическое применение усложняется необходимостью идентификации параметров, чувствительностью к шуму и требованием тщательной настройки под конкретный двигатель.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последние годы развивается направление применения обучения с подкреплением (reinforcement learning, RL) в задачах управления электроприводом [8, 9]. Его ключевое преимущество — возможность формализовать цель «энергия + качество регулирования» как единую оптимизационную постановку и получить управляющее решение при минимуме предположений о параметрах объекта. Однако прямое управление инвертором RL-агентом связано с рисками устойчивости и безопасности.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 — предложить и исследовать алгоритм MIC AI, который (i) не требует параметров модели двигателя в online-контуре принятия решений, (ii) интегрируется в типовую FOC-систему как внешний supervisory-слой, (iii) обеспечивает воспроизводимое сравнение с классическим FOC в установившихся и периодических режимах.</w:t>
      </w:r>
    </w:p>
    <w:p>
      <w:pPr>
        <w:spacing w:before="160" w:after="80" w:line="240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 Анализ существующих подходов к энергоэффективному управлению</w:t>
      </w:r>
    </w:p>
    <w:p>
      <w:pPr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FOC с фиксированным </w:t>
      </w:r>
      <m:oMath xmlns:mml="http://www.w3.org/1998/Math/MathML">
        <m:sSub>
          <m:e>
            <m:r>
              <m:t>i</m:t>
            </m:r>
          </m:e>
          <m:sub>
            <m:r>
              <m:t>d,ref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>. Обеспечивает высокое качество регулирования скорости и момента, но оптимальность по потерям достигается лишь в ограниченном диапазоне режимов, поскольку поток выбран как компромисс [1–5].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Оптимизация потока по модели потерь. Требует достаточной точности параметров двигателя и модели потерь; чувствительна к насыщению, температуре и старению [6, 7].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Экстремальный поиск (ESC). Снижает зависимость от модели, но может иметь длительный переход к оптимуму, чувствителен к шуму и требует аккуратной фильтрации измерений.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RL-управление. Позволяет обучать политику с учетом ограничений, однако в «чистом виде» (без базового стабилизирующего контура) осложняет доказуемую устойчивость и переносимость на MCU [8–11].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данной работе выбрана гибридная схема: внутренний контур FOC сохраняет структуру и настройки, а MIC AI оптимизирует энергию только через ограниченную коррекцию </w:t>
      </w:r>
      <m:oMath xmlns:mml="http://www.w3.org/1998/Math/MathML">
        <m:sSub>
          <m:e>
            <m:r>
              <m:t>i</m:t>
            </m:r>
          </m:e>
          <m:sub>
            <m:r>
              <m:t>d,ref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before="160" w:after="80" w:line="240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 Постановка задачи и критерии качества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Рассматривается электропривод с заданием скорости </w:t>
      </w:r>
      <m:oMath xmlns:mml="http://www.w3.org/1998/Math/MathML">
        <m:sSub>
          <m:e>
            <m:r>
              <m:t>ω</m:t>
            </m:r>
          </m:e>
          <m:sub>
            <m:r>
              <m:t>ref</m:t>
            </m:r>
          </m:sub>
        </m:sSub>
        <m:r>
          <m:t>(t)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и нагрузочным моментом </w:t>
      </w:r>
      <m:oMath xmlns:mml="http://www.w3.org/1998/Math/MathML">
        <m:sSub>
          <m:e>
            <m:r>
              <m:t>M</m:t>
            </m:r>
          </m:e>
          <m:sub>
            <m:r>
              <m:t>н</m:t>
            </m:r>
          </m:sub>
        </m:sSub>
        <m:r>
          <m:t>(t)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. Задача MIC AI состоит в снижении потребляемой мощности при сохранении качества регулирования скорости, т. е. при ограничении по ошибке </w:t>
      </w:r>
      <m:oMath xmlns:mml="http://www.w3.org/1998/Math/MathML">
        <m:sSub>
          <m:e>
            <m:r>
              <m:t>e</m:t>
            </m:r>
          </m:e>
          <m:sub>
            <m:r>
              <m:t>ω</m:t>
            </m:r>
          </m:sub>
        </m:sSub>
        <m:r>
          <m:t>(t)=</m:t>
        </m:r>
        <m:sSub>
          <m:e>
            <m:r>
              <m:t>ω</m:t>
            </m:r>
          </m:e>
          <m:sub>
            <m:r>
              <m:t>ref</m:t>
            </m:r>
          </m:sub>
        </m:sSub>
        <m:r>
          <m:t>(t)−ω(t)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корректного учета потребления в циклах, содержащих торможение и возможную генерацию энергии, вводятся положительные составляющие входной и выходной мощностей:</w:t>
      </w:r>
    </w:p>
    <w:p>
      <w:pPr>
        <w:spacing w:before="40" w:after="120" w:line="240" w:lineRule="auto"/>
        <w:jc w:val="center"/>
      </w:pPr>
      <m:oMath xmlns:mml="http://www.w3.org/1998/Math/MathML">
        <m:sSub>
          <m:e>
            <m:r>
              <m:t>P</m:t>
            </m:r>
          </m:e>
          <m:sub>
            <m:r>
              <m:t>вх+</m:t>
            </m:r>
          </m:sub>
        </m:sSub>
        <m:r>
          <m:t>(t)=max(</m:t>
        </m:r>
        <m:sSub>
          <m:e>
            <m:r>
              <m:t>P</m:t>
            </m:r>
          </m:e>
          <m:sub>
            <m:r>
              <m:t>вх</m:t>
            </m:r>
          </m:sub>
        </m:sSub>
        <m:r>
          <m:t>(t),0),</m:t>
        </m:r>
        <m:sSub>
          <m:e>
            <m:r>
              <m:t>P</m:t>
            </m:r>
          </m:e>
          <m:sub>
            <m:r>
              <m:t>2+</m:t>
            </m:r>
          </m:sub>
        </m:sSub>
        <m:r>
          <m:t>(t)=max(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t>(t),0).</m:t>
        </m:r>
      </m:oMath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Интегральные энергии на интервале </w:t>
      </w:r>
      <m:oMath xmlns:mml="http://www.w3.org/1998/Math/MathML">
        <m:r>
          <m:t>[0,T]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и КПД:</w:t>
      </w:r>
    </w:p>
    <w:p>
      <w:pPr>
        <w:spacing w:before="40" w:after="120" w:line="240" w:lineRule="auto"/>
        <w:jc w:val="center"/>
      </w:pPr>
      <m:oMath xmlns:mml="http://www.w3.org/1998/Math/MathML">
        <m:sSub>
          <m:e>
            <m:r>
              <m:t>E</m:t>
            </m:r>
          </m:e>
          <m:sub>
            <m:r>
              <m:t>вх</m:t>
            </m:r>
          </m:sub>
        </m:sSub>
        <m:r>
          <m:t>=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/>
        </m:nary>
        <m:sSub>
          <m:e>
            <m:r>
              <m:t>P</m:t>
            </m:r>
          </m:e>
          <m:sub>
            <m:r>
              <m:t>вх+</m:t>
            </m:r>
          </m:sub>
        </m:sSub>
        <m:r>
          <m:t>(t)</m:t>
        </m:r>
        <m:r>
          <m:t>dt,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t>=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/>
        </m:nary>
        <m:sSub>
          <m:e>
            <m:r>
              <m:t>P</m:t>
            </m:r>
          </m:e>
          <m:sub>
            <m:r>
              <m:t>2+</m:t>
            </m:r>
          </m:sub>
        </m:sSub>
        <m:r>
          <m:t>(t)</m:t>
        </m:r>
        <m:r>
          <m:t>dt,</m:t>
        </m:r>
        <m:r>
          <m:t>η=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E</m:t>
                </m:r>
              </m:e>
              <m:sub>
                <m:r>
                  <m:t>вх</m:t>
                </m:r>
              </m:sub>
            </m:sSub>
          </m:den>
        </m:f>
        <m:r>
          <m:t>.</m:t>
        </m:r>
      </m:oMath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Сравнение MIC AI с базовым FOC выполняется по экономии входной мощности и по ухудшению/улучшению качества регулирования:</w:t>
      </w:r>
    </w:p>
    <w:p>
      <w:pPr>
        <w:spacing w:before="40" w:after="120" w:line="240" w:lineRule="auto"/>
        <w:jc w:val="center"/>
      </w:pPr>
      <m:oMath xmlns:mml="http://www.w3.org/1998/Math/MathML">
        <m:sSub>
          <m:e>
            <m:r>
              <m:t>S</m:t>
            </m:r>
          </m:e>
          <m:sub>
            <m:r>
              <m:t>P</m:t>
            </m:r>
          </m:sub>
        </m:sSub>
        <m:r>
          <m:t>=100</m:t>
        </m:r>
        <m:r>
          <m:t>(1−</m:t>
        </m:r>
        <m:f>
          <m:fPr>
            <m:type m:val="bar"/>
          </m:fPr>
          <m:num>
            <m:sSubSup>
              <m:e>
                <m:acc>
                  <m:accPr>
                    <m:chr m:val="―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t>вх+</m:t>
                </m:r>
              </m:sub>
              <m:sup>
                <m:r>
                  <m:t>MIC</m:t>
                </m:r>
              </m:sup>
            </m:sSubSup>
          </m:num>
          <m:den>
            <m:sSubSup>
              <m:e>
                <m:acc>
                  <m:accPr>
                    <m:chr m:val="―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t>вх+</m:t>
                </m:r>
              </m:sub>
              <m:sup>
                <m:r>
                  <m:t>FOC</m:t>
                </m:r>
              </m:sup>
            </m:sSubSup>
          </m:den>
        </m:f>
        <m:r>
          <m:t>)</m:t>
        </m:r>
        <m:r>
          <m:t>,</m:t>
        </m:r>
        <m:sSub>
          <m:e>
            <m:r>
              <m:t>ρ</m:t>
            </m:r>
          </m:e>
          <m:sub>
            <m:r>
              <m:t>MAE</m:t>
            </m:r>
          </m:sub>
        </m:sSub>
        <m:r>
          <m:t>=</m:t>
        </m:r>
        <m:f>
          <m:fPr>
            <m:type m:val="bar"/>
          </m:fPr>
          <m:num>
            <m:r>
              <m:t>MA</m:t>
            </m:r>
            <m:sSub>
              <m:e>
                <m:r>
                  <m:t>E</m:t>
                </m:r>
              </m:e>
              <m:sub>
                <m:r>
                  <m:t>MIC</m:t>
                </m:r>
              </m:sub>
            </m:sSub>
          </m:num>
          <m:den>
            <m:r>
              <m:t>MA</m:t>
            </m:r>
            <m:sSub>
              <m:e>
                <m:r>
                  <m:t>E</m:t>
                </m:r>
              </m:e>
              <m:sub>
                <m:r>
                  <m:t>FOC</m:t>
                </m:r>
              </m:sub>
            </m:sSub>
          </m:den>
        </m:f>
        <m:r>
          <m:t>,</m:t>
        </m:r>
      </m:oMath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где </w:t>
      </w:r>
      <m:oMath xmlns:mml="http://www.w3.org/1998/Math/MathML">
        <m:sSub>
          <m:e>
            <m:acc>
              <m:accPr>
                <m:chr m:val="―"/>
              </m:accPr>
              <m:e>
                <m:r>
                  <m:t>P</m:t>
                </m:r>
              </m:e>
            </m:acc>
          </m:e>
          <m:sub>
            <m:r>
              <m:t>вх+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— среднее значение </w:t>
      </w:r>
      <m:oMath xmlns:mml="http://www.w3.org/1998/Math/MathML">
        <m:sSub>
          <m:e>
            <m:r>
              <m:t>P</m:t>
            </m:r>
          </m:e>
          <m:sub>
            <m:r>
              <m:t>вх+</m:t>
            </m:r>
          </m:sub>
        </m:sSub>
        <m:r>
          <m:t>(t)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на рассматриваемом интервале, </w:t>
      </w:r>
      <m:oMath xmlns:mml="http://www.w3.org/1998/Math/MathML">
        <m:r>
          <m:t>MAE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— средняя абсолютная ошибка скорости.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Примечание по обозначениям: «мощность на валу» </w:t>
      </w:r>
      <m:oMath xmlns:mml="http://www.w3.org/1998/Math/MathML"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в расчетах берется как </w:t>
      </w:r>
      <m:oMath xmlns:mml="http://www.w3.org/1998/Math/MathML">
        <m:sSub>
          <m:e>
            <m:r>
              <m:t>P</m:t>
            </m:r>
          </m:e>
          <m:sub>
            <m:r>
              <m:t>2</m:t>
            </m:r>
          </m:sub>
        </m:sSub>
        <m:r>
          <m:t>=</m:t>
        </m:r>
        <m:sSub>
          <m:e>
            <m:r>
              <m:t>M</m:t>
            </m:r>
          </m:e>
          <m:sub>
            <m:r>
              <m:t>э</m:t>
            </m:r>
          </m:sub>
        </m:sSub>
        <m:r>
          <m:t>ω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(по оценке электромагнитного момента). Для исключения «мнимой экономии» дополнительно контролируется выполненная работа нагрузки </w:t>
      </w:r>
      <m:oMath xmlns:mml="http://www.w3.org/1998/Math/MathML">
        <m:sSub>
          <m:e>
            <m:r>
              <m:t>E</m:t>
            </m:r>
          </m:e>
          <m:sub>
            <m:r>
              <m:t>load</m:t>
            </m:r>
          </m:sub>
        </m:sSub>
        <m:r>
          <m:t>=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/>
        </m:nary>
        <m:r>
          <m:t>max(</m:t>
        </m:r>
        <m:sSub>
          <m:e>
            <m:r>
              <m:t>M</m:t>
            </m:r>
          </m:e>
          <m:sub>
            <m:r>
              <m:t>н</m:t>
            </m:r>
          </m:sub>
        </m:sSub>
        <m:r>
          <m:t>(t)ω(t),0)</m:t>
        </m:r>
        <m:r>
          <m:t>dt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; в опубликованном протоколе отношение </w:t>
      </w:r>
      <m:oMath xmlns:mml="http://www.w3.org/1998/Math/MathML">
        <m:f>
          <m:fPr>
            <m:type m:val="lin"/>
          </m:fPr>
          <m:num>
            <m:sSubSup>
              <m:e>
                <m:r>
                  <m:t>E</m:t>
                </m:r>
              </m:e>
              <m:sub>
                <m:r>
                  <m:t>load</m:t>
                </m:r>
              </m:sub>
              <m:sup>
                <m:r>
                  <m:t>MIC</m:t>
                </m:r>
              </m:sup>
            </m:sSubSup>
          </m:num>
          <m:den>
            <m:sSubSup>
              <m:e>
                <m:r>
                  <m:t>E</m:t>
                </m:r>
              </m:e>
              <m:sub>
                <m:r>
                  <m:t>load</m:t>
                </m:r>
              </m:sub>
              <m:sup>
                <m:r>
                  <m:t>FOC</m:t>
                </m:r>
              </m:sup>
            </m:sSubSup>
          </m:den>
        </m:f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не опускается ниже 0,99.</w:t>
      </w:r>
    </w:p>
    <w:p>
      <w:pPr>
        <w:spacing w:before="160" w:after="80" w:line="240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 Алгоритм MIC AI</w:t>
      </w:r>
    </w:p>
    <w:p>
      <w:pPr>
        <w:spacing w:before="120" w:after="60" w:line="240" w:lineRule="auto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4.1. Архитектура FOC+MIC AI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Внутренний контур FOC содержит регуляторы тока и скорости и формирует управляющие напряжения инвертора. MIC AI не заменяет FOC и не управляет силовым преобразователем напрямую: он работает как внешний корректор задания потока, формируя </w:t>
      </w:r>
      <m:oMath xmlns:mml="http://www.w3.org/1998/Math/MathML">
        <m:sSub>
          <m:e>
            <m:r>
              <m:t>i</m:t>
            </m:r>
          </m:e>
          <m:sub>
            <m:r>
              <m:t>d,ref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в ограниченном диапазоне вокруг базового значения </w:t>
      </w:r>
      <m:oMath xmlns:mml="http://www.w3.org/1998/Math/MathML">
        <m:sSub>
          <m:e>
            <m:r>
              <m:t>i</m:t>
            </m:r>
          </m:e>
          <m:sub>
            <m:r>
              <m:t>d,base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рис. 1 показана структура алгоритма и взаимосвязь между контуром управления и контуром обучения/ограничений.</w:t>
      </w:r>
    </w:p>
    <w:p>
      <w:r>
        <w:drawing>
          <wp:inline xmlns:a="http://schemas.openxmlformats.org/drawingml/2006/main" xmlns:pic="http://schemas.openxmlformats.org/drawingml/2006/picture">
            <wp:extent cx="5688000" cy="3057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lgorithm_block_r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57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1 – Блок-схема алгоритма MIC AI (сплошные стрелки — контур управления; пунктир — контур обучения и ограничений)</w:t>
      </w:r>
    </w:p>
    <w:p>
      <w:pPr>
        <w:spacing w:before="120" w:after="60" w:line="240" w:lineRule="auto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4.2. Наблюдения и модельная независимость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Вектор наблюдений MIC AI формируется только из измеряемых или вычисляемых по измерениям величин: </w:t>
      </w:r>
      <m:oMath xmlns:mml="http://www.w3.org/1998/Math/MathML">
        <m:r>
          <m:t>ω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m:oMath xmlns:mml="http://www.w3.org/1998/Math/MathML">
        <m:sSub>
          <m:e>
            <m:r>
              <m:t>ω</m:t>
            </m:r>
          </m:e>
          <m:sub>
            <m:r>
              <m:t>ref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, ошибка скорости </w:t>
      </w:r>
      <m:oMath xmlns:mml="http://www.w3.org/1998/Math/MathML">
        <m:sSub>
          <m:e>
            <m:r>
              <m:t>e</m:t>
            </m:r>
          </m:e>
          <m:sub>
            <m:r>
              <m:t>ω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, токи </w:t>
      </w:r>
      <m:oMath xmlns:mml="http://www.w3.org/1998/Math/MathML">
        <m:sSub>
          <m:e>
            <m:r>
              <m:t>i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m:oMath xmlns:mml="http://www.w3.org/1998/Math/MathML">
        <m:sSub>
          <m:e>
            <m:r>
              <m:t>i</m:t>
            </m:r>
          </m:e>
          <m:sub>
            <m:r>
              <m:t>q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>, оценка нагрузки, положительная входная мощность Pвх+ (с фильтрацией) и вспомогательные признаки режима (например, производные/предыдущие значения). Параметры модели двигателя (</w:t>
      </w:r>
      <m:oMath xmlns:mml="http://www.w3.org/1998/Math/MathML"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m:oMath xmlns:mml="http://www.w3.org/1998/Math/MathML">
        <m:sSub>
          <m:e>
            <m:r>
              <m:t>R</m:t>
            </m:r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m:oMath xmlns:mml="http://www.w3.org/1998/Math/MathML"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m:oMath xmlns:mml="http://www.w3.org/1998/Math/MathML">
        <m:sSub>
          <m:e>
            <m:r>
              <m:t>L</m:t>
            </m:r>
          </m:e>
          <m:sub>
            <m:r>
              <m:t>σ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m:oMath xmlns:mml="http://www.w3.org/1998/Math/MathML">
        <m:r>
          <m:t>J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m:oMath xmlns:mml="http://www.w3.org/1998/Math/MathML">
        <m:r>
          <m:t>B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и др.) во вход политики не подаются, что и определяет модельную независимость online-контура.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Состав признаков, используемых в данной работе, приведен в табл. 1.</w:t>
      </w:r>
    </w:p>
    <w:p>
      <w:pPr>
        <w:spacing w:before="120" w:after="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Таблица 1 – Состав вектора наблюдений MIC AI и физический смысл признаков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Компонента наблюдений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Обозначение (в статье)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Физический смысл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Скорость ротора (нормированная)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m:oMath xmlns:mml="http://www.w3.org/1998/Math/MathML">
              <m:r>
                <m:t>ω</m:t>
              </m:r>
            </m:oMath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Скорость ротора в относительных единицах.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Задание скорости (нормированное)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m:oMath xmlns:mml="http://www.w3.org/1998/Math/MathML">
              <m:sSub>
                <m:e>
                  <m:r>
                    <m:t>ω</m:t>
                  </m:r>
                </m:e>
                <m:sub>
                  <m:r>
                    <m:t>ref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Нормированное задание скорости.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Ошибка скорости (нормированная)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m:oMath xmlns:mml="http://www.w3.org/1998/Math/MathML">
              <m:sSub>
                <m:e>
                  <m:r>
                    <m:t>e</m:t>
                  </m:r>
                </m:e>
                <m:sub>
                  <m:r>
                    <m:t>ω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Нормированная абсолютная ошибка </w:t>
            </w:r>
            <m:oMath xmlns:mml="http://www.w3.org/1998/Math/MathML">
              <m:r>
                <m:t>|</m:t>
              </m:r>
              <m:sSub>
                <m:e>
                  <m:r>
                    <m:t>ω</m:t>
                  </m:r>
                </m:e>
                <m:sub>
                  <m:r>
                    <m:t>ref</m:t>
                  </m:r>
                </m:sub>
              </m:sSub>
              <m:r>
                <m:t>−ω|</m:t>
              </m:r>
            </m:oMath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Ток по оси </w:t>
            </w:r>
            <m:oMath xmlns:mml="http://www.w3.org/1998/Math/MathML">
              <m:r>
                <m:t>d</m:t>
              </m:r>
            </m:oMath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 (нормированный)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m:oMath xmlns:mml="http://www.w3.org/1998/Math/MathML"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Компонента тока, формирующая магнитный поток.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Ток по оси </w:t>
            </w:r>
            <m:oMath xmlns:mml="http://www.w3.org/1998/Math/MathML">
              <m:r>
                <m:t>q</m:t>
              </m:r>
            </m:oMath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 (нормированный)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m:oMath xmlns:mml="http://www.w3.org/1998/Math/MathML"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Компонента тока, формирующая электромагнитный момент.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Оценка скольжения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m:oMath xmlns:mml="http://www.w3.org/1998/Math/MathML">
              <m:r>
                <m:t>s</m:t>
              </m:r>
            </m:oMath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Нормированная оценка скольжения/несовпадения синхронной и механической частот.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Оценка момента нагрузки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m:oMath xmlns:mml="http://www.w3.org/1998/Math/MathML">
              <m:sSub>
                <m:e>
                  <m:r>
                    <m:t>M</m:t>
                  </m:r>
                </m:e>
                <m:sub>
                  <m:r>
                    <m:t>н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Оценка момента нагрузки (в реальном приводе — по наблюдателю/оценке).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Положительная входная мощность (нормированная)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m:oMath xmlns:mml="http://www.w3.org/1998/Math/MathML">
              <m:sSub>
                <m:e>
                  <m:r>
                    <m:t>P</m:t>
                  </m:r>
                </m:e>
                <m:sub>
                  <m:r>
                    <m:t>вх+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Нормированная положительная составляющая входной мощности.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Фильтрованная входная мощность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m:oMath xmlns:mml="http://www.w3.org/1998/Math/MathML">
              <m:sSub>
                <m:e>
                  <m:limUpp>
                    <m:e>
                      <m:r>
                        <m:t>P</m:t>
                      </m:r>
                    </m:e>
                    <m:lim>
                      <m:r>
                        <m:t>~</m:t>
                      </m:r>
                    </m:lim>
                  </m:limUpp>
                </m:e>
                <m:sub>
                  <m:r>
                    <m:t>вх+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Сглаженная версия </w:t>
            </w:r>
            <m:oMath xmlns:mml="http://www.w3.org/1998/Math/MathML">
              <m:sSub>
                <m:e>
                  <m:r>
                    <m:t>P</m:t>
                  </m:r>
                </m:e>
                <m:sub>
                  <m:r>
                    <m:t>вх+</m:t>
                  </m:r>
                </m:sub>
              </m:sSub>
            </m:oMath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 для устойчивости вознаграждения.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Положительная механическая мощность (нормированная)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m:oMath xmlns:mml="http://www.w3.org/1998/Math/MathML">
              <m:sSub>
                <m:e>
                  <m:r>
                    <m:t>P</m:t>
                  </m:r>
                </m:e>
                <m:sub>
                  <m:r>
                    <m:t>2+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Нормированная положительная механическая мощность на валу.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Оценка КПД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m:oMath xmlns:mml="http://www.w3.org/1998/Math/MathML">
              <m:r>
                <m:t>η</m:t>
              </m:r>
            </m:oMath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Оценка эффективности (например, </w:t>
            </w:r>
            <m:oMath xmlns:mml="http://www.w3.org/1998/Math/MathML">
              <m:sSub>
                <m:e>
                  <m:r>
                    <m:t>η</m:t>
                  </m:r>
                </m:e>
                <m:sub>
                  <m:r>
                    <m:t>inst</m:t>
                  </m:r>
                </m:sub>
              </m:sSub>
              <m:r>
                <m:t>=</m:t>
              </m:r>
              <m:sSub>
                <m:e>
                  <m:r>
                    <m:t>P</m:t>
                  </m:r>
                </m:e>
                <m:sub>
                  <m:r>
                    <m:t>2+</m:t>
                  </m:r>
                </m:sub>
              </m:sSub>
              <m:r>
                <m:t>/</m:t>
              </m:r>
              <m:sSub>
                <m:e>
                  <m:r>
                    <m:t>P</m:t>
                  </m:r>
                </m:e>
                <m:sub>
                  <m:r>
                    <m:t>вх+</m:t>
                  </m:r>
                </m:sub>
              </m:sSub>
            </m:oMath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).</w:t>
            </w:r>
          </w:p>
        </w:tc>
      </w:tr>
    </w:tbl>
    <w:p>
      <w:pPr>
        <w:spacing w:before="0" w:after="40" w:line="240" w:lineRule="auto"/>
        <w:jc w:val="both"/>
      </w:pPr>
    </w:p>
    <w:p>
      <w:pPr>
        <w:spacing w:before="120" w:after="60" w:line="240" w:lineRule="auto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 xml:space="preserve">4.3. Действие, «шлюз» и формирование </w:t>
      </w:r>
      <m:oMath xmlns:mml="http://www.w3.org/1998/Math/MathML">
        <m:sSub>
          <m:e>
            <m:r>
              <m:t>i</m:t>
            </m:r>
          </m:e>
          <m:sub>
            <m:r>
              <m:t>d,ref</m:t>
            </m:r>
          </m:sub>
        </m:sSub>
      </m:oMath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режиме ai_id_ref агент PPO формирует одно непрерывное действие </w:t>
      </w:r>
      <m:oMath xmlns:mml="http://www.w3.org/1998/Math/MathML">
        <m:sSub>
          <m:e>
            <m:r>
              <m:t>a</m:t>
            </m:r>
          </m:e>
          <m:sub>
            <m:r>
              <m:t>k</m:t>
            </m:r>
          </m:sub>
        </m:sSub>
        <m:r>
          <m:t>∈[−1;1]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, которое интерпретируется как относительная поправка к базовому заданию потока </w:t>
      </w:r>
      <m:oMath xmlns:mml="http://www.w3.org/1998/Math/MathML">
        <m:sSub>
          <m:e>
            <m:r>
              <m:t>i</m:t>
            </m:r>
          </m:e>
          <m:sub>
            <m:r>
              <m:t>d,base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>:</w:t>
      </w:r>
    </w:p>
    <w:p>
      <w:pPr>
        <w:spacing w:before="40" w:after="120" w:line="240" w:lineRule="auto"/>
        <w:jc w:val="center"/>
      </w:pPr>
      <m:oMath xmlns:mml="http://www.w3.org/1998/Math/MathML">
        <m:sSubSup>
          <m:e>
            <m:r>
              <m:t>i</m:t>
            </m:r>
          </m:e>
          <m:sub>
            <m:r>
              <m:t>d,ref</m:t>
            </m:r>
          </m:sub>
          <m:sup>
            <m:r>
              <m:t>*</m:t>
            </m:r>
          </m:sup>
        </m:sSubSup>
        <m:r>
          <m:t>(k)=</m:t>
        </m:r>
        <m:sSub>
          <m:e>
            <m:r>
              <m:t>i</m:t>
            </m:r>
          </m:e>
          <m:sub>
            <m:r>
              <m:t>d,base</m:t>
            </m:r>
          </m:sub>
        </m:sSub>
        <m:r>
          <m:t>+</m:t>
        </m:r>
        <m:sSub>
          <m:e>
            <m:r>
              <m:t>g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</m:sub>
        </m:sSub>
        <m:r>
          <m:t>Δ</m:t>
        </m:r>
        <m:sSub>
          <m:e>
            <m:r>
              <m:t>i</m:t>
            </m:r>
          </m:e>
          <m:sub>
            <m:r>
              <m:t>d,max</m:t>
            </m:r>
          </m:sub>
        </m:sSub>
        <m:r>
          <m:t>max{1,|</m:t>
        </m:r>
        <m:sSub>
          <m:e>
            <m:r>
              <m:t>i</m:t>
            </m:r>
          </m:e>
          <m:sub>
            <m:r>
              <m:t>d,base</m:t>
            </m:r>
          </m:sub>
        </m:sSub>
        <m:r>
          <m:t>|},</m:t>
        </m:r>
      </m:oMath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где </w:t>
      </w:r>
      <m:oMath xmlns:mml="http://www.w3.org/1998/Math/MathML">
        <m:r>
          <m:t>Δ</m:t>
        </m:r>
        <m:sSub>
          <m:e>
            <m:r>
              <m:t>i</m:t>
            </m:r>
          </m:e>
          <m:sub>
            <m:r>
              <m:t>d,max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— коэффициент масштабирования действия, а </w:t>
      </w:r>
      <m:oMath xmlns:mml="http://www.w3.org/1998/Math/MathML">
        <m:sSub>
          <m:e>
            <m:r>
              <m:t>g</m:t>
            </m:r>
          </m:e>
          <m:sub>
            <m:r>
              <m:t>k</m:t>
            </m:r>
          </m:sub>
        </m:sSub>
        <m:r>
          <m:t>∈[0;1]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— «шлюз» (gate), который подавляет уменьшение потока при больших ошибках скорости. В реализации </w:t>
      </w:r>
      <m:oMath xmlns:mml="http://www.w3.org/1998/Math/MathML">
        <m:sSub>
          <m:e>
            <m:r>
              <m:t>g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вычисляется по ошибке на предыдущем шаге и допуска </w:t>
      </w:r>
      <m:oMath xmlns:mml="http://www.w3.org/1998/Math/MathML">
        <m:sSub>
          <m:e>
            <m:r>
              <m:t>e</m:t>
            </m:r>
          </m:e>
          <m:sub>
            <m:r>
              <m:t>gate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>:</w:t>
      </w:r>
    </w:p>
    <w:p>
      <w:pPr>
        <w:spacing w:before="40" w:after="120" w:line="240" w:lineRule="auto"/>
        <w:jc w:val="center"/>
      </w:pPr>
      <m:oMath xmlns:mml="http://www.w3.org/1998/Math/MathML">
        <m:sSub>
          <m:e>
            <m:r>
              <m:t>g</m:t>
            </m:r>
          </m:e>
          <m:sub>
            <m:r>
              <m:t>k</m:t>
            </m:r>
          </m:sub>
        </m:sSub>
        <m:r>
          <m:t>=max</m:t>
        </m:r>
        <m:sSup>
          <m:e>
            <m:r>
              <m:t>(0,1−</m:t>
            </m:r>
            <m:f>
              <m:fPr>
                <m:type m:val="bar"/>
              </m:fPr>
              <m:num>
                <m:r>
                  <m:t>|</m:t>
                </m:r>
                <m:sSub>
                  <m:e>
                    <m:r>
                      <m:t>ω</m:t>
                    </m:r>
                  </m:e>
                  <m:sub>
                    <m:r>
                      <m:t>ref</m:t>
                    </m:r>
                  </m:sub>
                </m:sSub>
                <m:r>
                  <m:t>(k−1)−ω(k−1)|</m:t>
                </m:r>
              </m:num>
              <m:den>
                <m:sSub>
                  <m:e>
                    <m:r>
                      <m:t>e</m:t>
                    </m:r>
                  </m:e>
                  <m:sub>
                    <m:r>
                      <m:t>gate</m:t>
                    </m:r>
                  </m:sub>
                </m:sSub>
              </m:den>
            </m:f>
            <m:r>
              <m:t>)</m:t>
            </m:r>
          </m:e>
          <m:sup>
            <m:r>
              <m:t>ν</m:t>
            </m:r>
          </m:sup>
        </m:sSup>
        <m:r>
          <m:t>,</m:t>
        </m:r>
        <m:sSub>
          <m:e>
            <m:r>
              <m:t>e</m:t>
            </m:r>
          </m:e>
          <m:sub>
            <m:r>
              <m:t>gate</m:t>
            </m:r>
          </m:sub>
        </m:sSub>
        <m:r>
          <m:t>=</m:t>
        </m:r>
        <m:sSub>
          <m:e>
            <m:r>
              <m:t>e</m:t>
            </m:r>
          </m:e>
          <m:sub>
            <m:r>
              <m:t>gate,rel</m:t>
            </m:r>
          </m:sub>
        </m:sSub>
        <m:r>
          <m:t>max</m:t>
        </m:r>
        <m:r>
          <m:t>(|</m:t>
        </m:r>
        <m:sSub>
          <m:e>
            <m:r>
              <m:t>ω</m:t>
            </m:r>
          </m:e>
          <m:sub>
            <m:r>
              <m:t>ref</m:t>
            </m:r>
          </m:sub>
        </m:sSub>
        <m:r>
          <m:t>(k−1)|,ε)</m:t>
        </m:r>
        <m:r>
          <m:t>,</m:t>
        </m:r>
      </m:oMath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где </w:t>
      </w:r>
      <m:oMath xmlns:mml="http://www.w3.org/1998/Math/MathML">
        <m:r>
          <m:t>ν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— показатель «жесткости» шлюза, </w:t>
      </w:r>
      <m:oMath xmlns:mml="http://www.w3.org/1998/Math/MathML">
        <m:r>
          <m:t>ε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— малое число. Далее применяется ограничение по диапазону и фильтрация задания:</w:t>
      </w:r>
    </w:p>
    <w:p>
      <w:pPr>
        <w:spacing w:before="40" w:after="120" w:line="240" w:lineRule="auto"/>
        <w:jc w:val="center"/>
      </w:pPr>
      <m:oMath xmlns:mml="http://www.w3.org/1998/Math/MathML">
        <m:sSub>
          <m:e>
            <m:r>
              <m:t>i</m:t>
            </m:r>
          </m:e>
          <m:sub>
            <m:r>
              <m:t>d,ref</m:t>
            </m:r>
          </m:sub>
        </m:sSub>
        <m:r>
          <m:t>(k)=</m:t>
        </m:r>
        <m:sSub>
          <m:e>
            <m:r>
              <m:rPr>
                <m:sty m:val="p"/>
              </m:rPr>
              <m:t>sat</m:t>
            </m:r>
          </m:e>
          <m:sub>
            <m:r>
              <m:t>[</m:t>
            </m:r>
            <m:sSub>
              <m:e>
                <m:r>
                  <m:t>i</m:t>
                </m:r>
              </m:e>
              <m:sub>
                <m:r>
                  <m:t>d,min</m:t>
                </m:r>
              </m:sub>
            </m:sSub>
            <m:r>
              <m:t>,</m:t>
            </m:r>
            <m:sSub>
              <m:e>
                <m:r>
                  <m:t>i</m:t>
                </m:r>
              </m:e>
              <m:sub>
                <m:r>
                  <m:t>d,max</m:t>
                </m:r>
              </m:sub>
            </m:sSub>
            <m:r>
              <m:t>]</m:t>
            </m:r>
          </m:sub>
        </m:sSub>
        <m:r>
          <m:t>(α</m:t>
        </m:r>
        <m:sSubSup>
          <m:e>
            <m:r>
              <m:t>i</m:t>
            </m:r>
          </m:e>
          <m:sub>
            <m:r>
              <m:t>d,ref</m:t>
            </m:r>
          </m:sub>
          <m:sup>
            <m:r>
              <m:t>*</m:t>
            </m:r>
          </m:sup>
        </m:sSubSup>
        <m:r>
          <m:t>(k)+(1−α)</m:t>
        </m:r>
        <m:sSub>
          <m:e>
            <m:r>
              <m:t>i</m:t>
            </m:r>
          </m:e>
          <m:sub>
            <m:r>
              <m:t>d,ref</m:t>
            </m:r>
          </m:sub>
        </m:sSub>
        <m:r>
          <m:t>(k−1)),</m:t>
        </m:r>
      </m:oMath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а также защитное правило: при </w:t>
      </w:r>
      <m:oMath xmlns:mml="http://www.w3.org/1998/Math/MathML">
        <m:sSub>
          <m:e>
            <m:r>
              <m:t>g</m:t>
            </m:r>
          </m:e>
          <m:sub>
            <m:r>
              <m:t>k</m:t>
            </m:r>
          </m:sub>
        </m:sSub>
        <m:r>
          <m:t>&lt;0</m:t>
        </m:r>
        <m:r>
          <m:t>,</m:t>
        </m:r>
        <m:r>
          <m:t>5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вводится запрет на длительное снижение потока в переходных процессах, </w:t>
      </w:r>
      <m:oMath xmlns:mml="http://www.w3.org/1998/Math/MathML">
        <m:sSub>
          <m:e>
            <m:r>
              <m:t>i</m:t>
            </m:r>
          </m:e>
          <m:sub>
            <m:r>
              <m:t>d,ref</m:t>
            </m:r>
          </m:sub>
        </m:sSub>
        <m:r>
          <m:t>(k)≥</m:t>
        </m:r>
        <m:sSub>
          <m:e>
            <m:r>
              <m:t>i</m:t>
            </m:r>
          </m:e>
          <m:sub>
            <m:r>
              <m:t>d,base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>. Инженерный смысл этого блока следующий: пока привод «догоняет» задание скорости (или работает на границе токоограничений), MIC AI практически не вмешивается; оптимизация потока активируется в квазистационарных участках, где влияние на динамику минимально, а экономия потерь максимальна.</w:t>
      </w:r>
    </w:p>
    <w:p>
      <w:pPr>
        <w:spacing w:before="120" w:after="60" w:line="240" w:lineRule="auto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4.4. Функция вознаграждения, нормализация и ограничения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Цель обучения формулируется как минимизация энергопотребления при ограничении качества регулирования скорости. Для этого вводится стоимость шага </w:t>
      </w:r>
      <m:oMath xmlns:mml="http://www.w3.org/1998/Math/MathML">
        <m:sSub>
          <m:e>
            <m:r>
              <m:t>J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как взвешенная сумма нормированных слагаемых:</w:t>
      </w:r>
    </w:p>
    <w:p>
      <w:pPr>
        <w:spacing w:before="40" w:after="120" w:line="240" w:lineRule="auto"/>
        <w:jc w:val="center"/>
      </w:pPr>
      <m:oMath xmlns:mml="http://www.w3.org/1998/Math/MathML">
        <m:sSub>
          <m:e>
            <m:r>
              <m:t>J</m:t>
            </m:r>
          </m:e>
          <m:sub>
            <m:r>
              <m:t>k</m:t>
            </m:r>
          </m:sub>
        </m:sSub>
        <m:r>
          <m:t>=</m:t>
        </m:r>
        <m:sSub>
          <m:e>
            <m:r>
              <m:t>w</m:t>
            </m:r>
          </m:e>
          <m:sub>
            <m:r>
              <m:t>speed</m:t>
            </m:r>
          </m:sub>
        </m:sSub>
        <m:sSub>
          <m:e>
            <m:r>
              <m:t>e</m:t>
            </m:r>
          </m:e>
          <m:sub>
            <m:r>
              <m:t>ω,n</m:t>
            </m:r>
          </m:sub>
        </m:sSub>
        <m:r>
          <m:t>(k)+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t>(</m:t>
        </m:r>
        <m:sSub>
          <m:e>
            <m:r>
              <m:t>w</m:t>
            </m:r>
          </m:e>
          <m:sub>
            <m:r>
              <m:t>power</m:t>
            </m:r>
          </m:sub>
        </m:sSub>
        <m:sSub>
          <m:e>
            <m:r>
              <m:t>p</m:t>
            </m:r>
          </m:e>
          <m:sub>
            <m:r>
              <m:t>вх,n</m:t>
            </m:r>
          </m:sub>
        </m:sSub>
        <m:r>
          <m:t>(k)+</m:t>
        </m:r>
        <m:sSub>
          <m:e>
            <m:r>
              <m:t>w</m:t>
            </m:r>
          </m:e>
          <m:sub>
            <m:r>
              <m:t>current</m:t>
            </m:r>
          </m:sub>
        </m:sSub>
        <m:sSub>
          <m:e>
            <m:r>
              <m:t>i</m:t>
            </m:r>
          </m:e>
          <m:sub>
            <m:r>
              <m:t>n</m:t>
            </m:r>
          </m:sub>
        </m:sSub>
        <m:r>
          <m:t>(k)+</m:t>
        </m:r>
        <m:sSub>
          <m:e>
            <m:r>
              <m:t>w</m:t>
            </m:r>
          </m:e>
          <m:sub>
            <m:r>
              <m:t>shaft</m:t>
            </m:r>
          </m:sub>
        </m:sSub>
        <m:sSub>
          <m:e>
            <m:r>
              <m:t>δ</m:t>
            </m:r>
          </m:e>
          <m:sub>
            <m:r>
              <m:t>shaft</m:t>
            </m:r>
          </m:sub>
        </m:sSub>
        <m:r>
          <m:t>(k)+</m:t>
        </m:r>
        <m:sSub>
          <m:e>
            <m:r>
              <m:t>w</m:t>
            </m:r>
          </m:e>
          <m:sub>
            <m:r>
              <m:t>η</m:t>
            </m:r>
          </m:sub>
        </m:sSub>
        <m:sSub>
          <m:e>
            <m:r>
              <m:t>δ</m:t>
            </m:r>
          </m:e>
          <m:sub>
            <m:r>
              <m:t>η</m:t>
            </m:r>
          </m:sub>
        </m:sSub>
        <m:r>
          <m:t>(k))</m:t>
        </m:r>
        <m:r>
          <m:t>+</m:t>
        </m:r>
        <m:sSub>
          <m:e>
            <m:r>
              <m:t>w</m:t>
            </m:r>
          </m:e>
          <m:sub>
            <m:r>
              <m:t>smooth</m:t>
            </m:r>
          </m:sub>
        </m:sSub>
        <m:r>
          <m:t>Δ</m:t>
        </m:r>
        <m:sSub>
          <m:e>
            <m:r>
              <m:t>i</m:t>
            </m:r>
          </m:e>
          <m:sub>
            <m:r>
              <m:t>d,n</m:t>
            </m:r>
          </m:sub>
        </m:sSub>
        <m:r>
          <m:t>(k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+</m:t>
        </m:r>
        <m:sSub>
          <m:e>
            <m:r>
              <m:t>w</m:t>
            </m:r>
          </m:e>
          <m:sub>
            <m:r>
              <m:t>mag</m:t>
            </m:r>
          </m:sub>
        </m:sSub>
        <m:sSub>
          <m:e>
            <m:r>
              <m:t>i</m:t>
            </m:r>
          </m:e>
          <m:sub>
            <m:r>
              <m:t>d,dev,n</m:t>
            </m:r>
          </m:sub>
        </m:sSub>
        <m:r>
          <m:t>(k),</m:t>
        </m:r>
      </m:oMath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где </w:t>
      </w:r>
      <m:oMath xmlns:mml="http://www.w3.org/1998/Math/MathML">
        <m:sSub>
          <m:e>
            <m:r>
              <m:t>e</m:t>
            </m:r>
          </m:e>
          <m:sub>
            <m:r>
              <m:t>ω,n</m:t>
            </m:r>
          </m:sub>
        </m:sSub>
        <m:r>
          <m:t>=|ω−</m:t>
        </m:r>
        <m:sSub>
          <m:e>
            <m:r>
              <m:t>ω</m:t>
            </m:r>
          </m:e>
          <m:sub>
            <m:r>
              <m:t>ref</m:t>
            </m:r>
          </m:sub>
        </m:sSub>
        <m:r>
          <m:t>|/max(|</m:t>
        </m:r>
        <m:sSub>
          <m:e>
            <m:r>
              <m:t>ω</m:t>
            </m:r>
          </m:e>
          <m:sub>
            <m:r>
              <m:t>ref</m:t>
            </m:r>
          </m:sub>
        </m:sSub>
        <m:r>
          <m:t>|,ε)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— нормированная ошибка скорости, </w:t>
      </w:r>
      <m:oMath xmlns:mml="http://www.w3.org/1998/Math/MathML">
        <m:sSub>
          <m:e>
            <m:r>
              <m:t>p</m:t>
            </m:r>
          </m:e>
          <m:sub>
            <m:r>
              <m:t>вх,n</m:t>
            </m:r>
          </m:sub>
        </m:sSub>
        <m:r>
          <m:t>=</m:t>
        </m:r>
        <m:sSub>
          <m:e>
            <m:limUpp>
              <m:e>
                <m:r>
                  <m:t>P</m:t>
                </m:r>
              </m:e>
              <m:lim>
                <m:r>
                  <m:t>~</m:t>
                </m:r>
              </m:lim>
            </m:limUpp>
          </m:e>
          <m:sub>
            <m:r>
              <m:t>вх+</m:t>
            </m:r>
          </m:sub>
        </m:sSub>
        <m:r>
          <m:t>/</m:t>
        </m:r>
        <m:sSub>
          <m:e>
            <m:r>
              <m:t>P</m:t>
            </m:r>
          </m:e>
          <m:sub>
            <m:r>
              <m:t>base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— нормированная (и сглаженная) положительная входная мощность, </w:t>
      </w:r>
      <m:oMath xmlns:mml="http://www.w3.org/1998/Math/MathML">
        <m:sSub>
          <m:e>
            <m:r>
              <m:t>i</m:t>
            </m:r>
          </m:e>
          <m:sub>
            <m:r>
              <m:t>n</m:t>
            </m:r>
          </m:sub>
        </m:sSub>
        <m:r>
          <m:t>=</m:t>
        </m:r>
        <m:sSub>
          <m:e>
            <m:r>
              <m:t>I</m:t>
            </m:r>
          </m:e>
          <m:sub>
            <m:r>
              <m:t>rms</m:t>
            </m:r>
          </m:sub>
        </m:sSub>
        <m:r>
          <m:t>/</m:t>
        </m:r>
        <m:sSub>
          <m:e>
            <m:r>
              <m:t>I</m:t>
            </m:r>
          </m:e>
          <m:sub>
            <m:r>
              <m:t>lim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— нормированный ток, </w:t>
      </w:r>
      <m:oMath xmlns:mml="http://www.w3.org/1998/Math/MathML">
        <m:r>
          <m:t>Δ</m:t>
        </m:r>
        <m:sSub>
          <m:e>
            <m:r>
              <m:t>i</m:t>
            </m:r>
          </m:e>
          <m:sub>
            <m:r>
              <m:t>d,n</m:t>
            </m:r>
          </m:sub>
        </m:sSub>
        <m:r>
          <m:t>=(</m:t>
        </m:r>
        <m:sSub>
          <m:e>
            <m:r>
              <m:t>i</m:t>
            </m:r>
          </m:e>
          <m:sub>
            <m:r>
              <m:t>d,ref</m:t>
            </m:r>
          </m:sub>
        </m:sSub>
        <m:r>
          <m:t>(k)−</m:t>
        </m:r>
        <m:sSub>
          <m:e>
            <m:r>
              <m:t>i</m:t>
            </m:r>
          </m:e>
          <m:sub>
            <m:r>
              <m:t>d,ref</m:t>
            </m:r>
          </m:sub>
        </m:sSub>
        <m:r>
          <m:t>(k−1))/</m:t>
        </m:r>
        <m:sSub>
          <m:e>
            <m:r>
              <m:t>I</m:t>
            </m:r>
          </m:e>
          <m:sub>
            <m:r>
              <m:t>lim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— нормированный шаг изменения задания потока, </w:t>
      </w:r>
      <m:oMath xmlns:mml="http://www.w3.org/1998/Math/MathML">
        <m:sSub>
          <m:e>
            <m:r>
              <m:t>i</m:t>
            </m:r>
          </m:e>
          <m:sub>
            <m:r>
              <m:t>d,dev,n</m:t>
            </m:r>
          </m:sub>
        </m:sSub>
        <m:r>
          <m:t>=|</m:t>
        </m:r>
        <m:sSub>
          <m:e>
            <m:r>
              <m:t>i</m:t>
            </m:r>
          </m:e>
          <m:sub>
            <m:r>
              <m:t>d,ref</m:t>
            </m:r>
          </m:sub>
        </m:sSub>
        <m:r>
          <m:t>−</m:t>
        </m:r>
        <m:sSub>
          <m:e>
            <m:r>
              <m:t>i</m:t>
            </m:r>
          </m:e>
          <m:sub>
            <m:r>
              <m:t>d,base</m:t>
            </m:r>
          </m:sub>
        </m:sSub>
        <m:r>
          <m:t>|/</m:t>
        </m:r>
        <m:sSub>
          <m:e>
            <m:r>
              <m:t>I</m:t>
            </m:r>
          </m:e>
          <m:sub>
            <m:r>
              <m:t>lim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— отклонение от базового потока. Нормирующая мощность выбирается как </w:t>
      </w:r>
      <m:oMath xmlns:mml="http://www.w3.org/1998/Math/MathML">
        <m:sSub>
          <m:e>
            <m:r>
              <m:t>P</m:t>
            </m:r>
          </m:e>
          <m:sub>
            <m:r>
              <m:t>base</m:t>
            </m:r>
          </m:sub>
        </m:sSub>
        <m:r>
          <m:t>=</m:t>
        </m:r>
        <m:sSub>
          <m:e>
            <m:r>
              <m:t>U</m:t>
            </m:r>
          </m:e>
          <m:sub>
            <m:r>
              <m:t>nom</m:t>
            </m:r>
          </m:sub>
        </m:sSub>
        <m:sSub>
          <m:e>
            <m:r>
              <m:t>I</m:t>
            </m:r>
          </m:e>
          <m:sub>
            <m:r>
              <m:t>lim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Слагаемые </w:t>
      </w:r>
      <m:oMath xmlns:mml="http://www.w3.org/1998/Math/MathML">
        <m:sSub>
          <m:e>
            <m:r>
              <m:t>δ</m:t>
            </m:r>
          </m:e>
          <m:sub>
            <m:r>
              <m:t>shaft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m:oMath xmlns:mml="http://www.w3.org/1998/Math/MathML">
        <m:sSub>
          <m:e>
            <m:r>
              <m:t>δ</m:t>
            </m:r>
          </m:e>
          <m:sub>
            <m:r>
              <m:t>η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используются как «предохранители» от деградации полезной мощности и эффективности:</w:t>
      </w:r>
    </w:p>
    <w:p>
      <w:pPr>
        <w:spacing w:before="40" w:after="120" w:line="240" w:lineRule="auto"/>
        <w:jc w:val="center"/>
      </w:pPr>
      <m:oMath xmlns:mml="http://www.w3.org/1998/Math/MathML">
        <m:sSub>
          <m:e>
            <m:r>
              <m:t>δ</m:t>
            </m:r>
          </m:e>
          <m:sub>
            <m:r>
              <m:t>shaft</m:t>
            </m:r>
          </m:sub>
        </m:sSub>
        <m:r>
          <m:t>=</m:t>
        </m:r>
        <m:f>
          <m:fPr>
            <m:type m:val="bar"/>
          </m:fPr>
          <m:num>
            <m:r>
              <m:t>max(0,</m:t>
            </m:r>
            <m:sSub>
              <m:e>
                <m:r>
                  <m:t>P</m:t>
                </m:r>
              </m:e>
              <m:sub>
                <m:r>
                  <m:t>2,target+</m:t>
                </m:r>
              </m:sub>
            </m:sSub>
            <m:r>
              <m:t>−</m:t>
            </m:r>
            <m:sSub>
              <m:e>
                <m:r>
                  <m:t>P</m:t>
                </m:r>
              </m:e>
              <m:sub>
                <m:r>
                  <m:t>2+</m:t>
                </m:r>
              </m:sub>
            </m:sSub>
            <m:r>
              <m:t>)</m:t>
            </m:r>
          </m:num>
          <m:den>
            <m:sSub>
              <m:e>
                <m:r>
                  <m:t>P</m:t>
                </m:r>
              </m:e>
              <m:sub>
                <m:r>
                  <m:t>base</m:t>
                </m:r>
              </m:sub>
            </m:sSub>
          </m:den>
        </m:f>
        <m:r>
          <m:t>,</m:t>
        </m:r>
        <m:sSub>
          <m:e>
            <m:r>
              <m:t>δ</m:t>
            </m:r>
          </m:e>
          <m:sub>
            <m:r>
              <m:t>η</m:t>
            </m:r>
          </m:sub>
        </m:sSub>
        <m:r>
          <m:t>=max</m:t>
        </m:r>
        <m:r>
          <m:t>(0,1−</m:t>
        </m:r>
        <m:f>
          <m:fPr>
            <m:type m:val="bar"/>
          </m:fPr>
          <m:num>
            <m:sSub>
              <m:e>
                <m:r>
                  <m:t>η</m:t>
                </m:r>
              </m:e>
              <m:sub>
                <m:r>
                  <m:t>inst</m:t>
                </m:r>
              </m:sub>
            </m:sSub>
          </m:num>
          <m:den>
            <m:sSub>
              <m:e>
                <m:r>
                  <m:t>η</m:t>
                </m:r>
              </m:e>
              <m:sub>
                <m:r>
                  <m:t>clip</m:t>
                </m:r>
              </m:sub>
            </m:sSub>
          </m:den>
        </m:f>
        <m:r>
          <m:t>)</m:t>
        </m:r>
        <m:r>
          <m:t>,</m:t>
        </m:r>
        <m:sSub>
          <m:e>
            <m:r>
              <m:t>η</m:t>
            </m:r>
          </m:e>
          <m:sub>
            <m:r>
              <m:t>inst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2+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вх+</m:t>
                </m:r>
              </m:sub>
            </m:sSub>
          </m:den>
        </m:f>
        <m:r>
          <m:t>,</m:t>
        </m:r>
      </m:oMath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где </w:t>
      </w:r>
      <m:oMath xmlns:mml="http://www.w3.org/1998/Math/MathML">
        <m:sSub>
          <m:e>
            <m:r>
              <m:t>P</m:t>
            </m:r>
          </m:e>
          <m:sub>
            <m:r>
              <m:t>2,target+</m:t>
            </m:r>
          </m:sub>
        </m:sSub>
        <m:r>
          <m:t>=max(0,</m:t>
        </m:r>
        <m:sSub>
          <m:e>
            <m:r>
              <m:t>ω</m:t>
            </m:r>
          </m:e>
          <m:sub>
            <m:r>
              <m:t>ref</m:t>
            </m:r>
          </m:sub>
        </m:sSub>
        <m:r>
          <m:t>max(</m:t>
        </m:r>
        <m:sSub>
          <m:e>
            <m:r>
              <m:t>M</m:t>
            </m:r>
          </m:e>
          <m:sub>
            <m:r>
              <m:t>н</m:t>
            </m:r>
          </m:sub>
        </m:sSub>
        <m:r>
          <m:t>,0))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— целевая положительная мощность нагрузки, </w:t>
      </w:r>
      <m:oMath xmlns:mml="http://www.w3.org/1998/Math/MathML">
        <m:sSub>
          <m:e>
            <m:r>
              <m:t>P</m:t>
            </m:r>
          </m:e>
          <m:sub>
            <m:r>
              <m:t>2+</m:t>
            </m:r>
          </m:sub>
        </m:sSub>
        <m:r>
          <m:t>=max(0,</m:t>
        </m:r>
        <m:sSub>
          <m:e>
            <m:r>
              <m:t>M</m:t>
            </m:r>
          </m:e>
          <m:sub>
            <m:r>
              <m:t>э</m:t>
            </m:r>
          </m:sub>
        </m:sSub>
        <m:r>
          <m:t>ω)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— положительная механическая мощность (по оценке электромагнитного момента </w:t>
      </w:r>
      <m:oMath xmlns:mml="http://www.w3.org/1998/Math/MathML">
        <m:sSub>
          <m:e>
            <m:r>
              <m:t>M</m:t>
            </m:r>
          </m:e>
          <m:sub>
            <m:r>
              <m:t>э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), а </w:t>
      </w:r>
      <m:oMath xmlns:mml="http://www.w3.org/1998/Math/MathML">
        <m:sSub>
          <m:e>
            <m:r>
              <m:t>η</m:t>
            </m:r>
          </m:e>
          <m:sub>
            <m:r>
              <m:t>clip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— верхняя граница нормирования.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Коэффициент </w:t>
      </w:r>
      <m:oMath xmlns:mml="http://www.w3.org/1998/Math/MathML">
        <m:sSub>
          <m:e>
            <m:r>
              <m:t>γ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реализует «энергетический шлюз» по допуску скорости: если </w:t>
      </w:r>
      <m:oMath xmlns:mml="http://www.w3.org/1998/Math/MathML">
        <m:r>
          <m:t>|ω−</m:t>
        </m:r>
        <m:sSub>
          <m:e>
            <m:r>
              <m:t>ω</m:t>
            </m:r>
          </m:e>
          <m:sub>
            <m:r>
              <m:t>ref</m:t>
            </m:r>
          </m:sub>
        </m:sSub>
        <m:r>
          <m:t>|&gt;</m:t>
        </m:r>
        <m:sSub>
          <m:e>
            <m:r>
              <m:t>e</m:t>
            </m:r>
          </m:e>
          <m:sub>
            <m:r>
              <m:t>tol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, то </w:t>
      </w:r>
      <m:oMath xmlns:mml="http://www.w3.org/1998/Math/MathML">
        <m:sSub>
          <m:e>
            <m:r>
              <m:t>γ</m:t>
            </m:r>
          </m:e>
          <m:sub>
            <m:r>
              <m:t>k</m:t>
            </m:r>
          </m:sub>
        </m:sSub>
        <m:r>
          <m:t>=0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и энергетические слагаемые выключаются, чтобы MIC AI не ухудшал динамику разгона/торможения. В противном случае </w:t>
      </w:r>
      <m:oMath xmlns:mml="http://www.w3.org/1998/Math/MathML">
        <m:sSub>
          <m:e>
            <m:r>
              <m:t>γ</m:t>
            </m:r>
          </m:e>
          <m:sub>
            <m:r>
              <m:t>k</m:t>
            </m:r>
          </m:sub>
        </m:sSub>
        <m:r>
          <m:t>=1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Вознаграждение шага задается как</w:t>
      </w:r>
    </w:p>
    <w:p>
      <w:pPr>
        <w:spacing w:before="40" w:after="120" w:line="240" w:lineRule="auto"/>
        <w:jc w:val="center"/>
      </w:pPr>
      <m:oMath xmlns:mml="http://www.w3.org/1998/Math/MathML">
        <m:sSub>
          <m:e>
            <m:r>
              <m:t>r</m:t>
            </m:r>
          </m:e>
          <m:sub>
            <m:r>
              <m:t>k</m:t>
            </m:r>
          </m:sub>
        </m:sSub>
        <m:r>
          <m:t>=</m:t>
        </m:r>
        <m:r>
          <m:rPr>
            <m:sty m:val="p"/>
          </m:rPr>
          <m:t>clip</m:t>
        </m:r>
        <m:r>
          <m:t>(</m:t>
        </m:r>
        <m:sSub>
          <m:e>
            <m:r>
              <m:t>r</m:t>
            </m:r>
          </m:e>
          <m:sub>
            <m:r>
              <m:t>max</m:t>
            </m:r>
          </m:sub>
        </m:sSub>
        <m:r>
          <m:t>−</m:t>
        </m:r>
        <m:sSub>
          <m:e>
            <m:r>
              <m:t>J</m:t>
            </m:r>
          </m:e>
          <m:sub>
            <m:r>
              <m:t>k</m:t>
            </m:r>
          </m:sub>
        </m:sSub>
        <m:r>
          <m:t>,</m:t>
        </m:r>
        <m:sSub>
          <m:e>
            <m:r>
              <m:t>r</m:t>
            </m:r>
          </m:e>
          <m:sub>
            <m:r>
              <m:t>min</m:t>
            </m:r>
          </m:sub>
        </m:sSub>
        <m:r>
          <m:t>,</m:t>
        </m:r>
        <m:sSub>
          <m:e>
            <m:r>
              <m:t>r</m:t>
            </m:r>
          </m:e>
          <m:sub>
            <m:r>
              <m:t>max</m:t>
            </m:r>
          </m:sub>
        </m:sSub>
        <m:r>
          <m:t>)</m:t>
        </m:r>
        <m:r>
          <m:t>.</m:t>
        </m:r>
      </m:oMath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Безопасность обеспечивается комбинацией: (i) насыщения </w:t>
      </w:r>
      <m:oMath xmlns:mml="http://www.w3.org/1998/Math/MathML">
        <m:sSub>
          <m:e>
            <m:r>
              <m:t>i</m:t>
            </m:r>
          </m:e>
          <m:sub>
            <m:r>
              <m:t>d,ref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и ограничения </w:t>
      </w:r>
      <m:oMath xmlns:mml="http://www.w3.org/1998/Math/MathML">
        <m:r>
          <m:t>Δ</m:t>
        </m:r>
        <m:sSub>
          <m:e>
            <m:r>
              <m:t>i</m:t>
            </m:r>
          </m:e>
          <m:sub>
            <m:r>
              <m:t>d,max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, (ii) шлюза </w:t>
      </w:r>
      <m:oMath xmlns:mml="http://www.w3.org/1998/Math/MathML">
        <m:sSub>
          <m:e>
            <m:r>
              <m:t>g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и правила </w:t>
      </w:r>
      <m:oMath xmlns:mml="http://www.w3.org/1998/Math/MathML">
        <m:sSub>
          <m:e>
            <m:r>
              <m:t>i</m:t>
            </m:r>
          </m:e>
          <m:sub>
            <m:r>
              <m:t>d,ref</m:t>
            </m:r>
          </m:sub>
        </m:sSub>
        <m:r>
          <m:t>≥</m:t>
        </m:r>
        <m:sSub>
          <m:e>
            <m:r>
              <m:t>i</m:t>
            </m:r>
          </m:e>
          <m:sub>
            <m:r>
              <m:t>d,base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в переходных режимах, (iii) мягких и жестких ограничений по току (штраф за превышение </w:t>
      </w:r>
      <m:oMath xmlns:mml="http://www.w3.org/1998/Math/MathML">
        <m:sSub>
          <m:e>
            <m:r>
              <m:t>I</m:t>
            </m:r>
          </m:e>
          <m:sub>
            <m:r>
              <m:t>soft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и аварийное завершение при </w:t>
      </w:r>
      <m:oMath xmlns:mml="http://www.w3.org/1998/Math/MathML">
        <m:r>
          <m:t>I&gt;</m:t>
        </m:r>
        <m:sSub>
          <m:e>
            <m:r>
              <m:t>I</m:t>
            </m:r>
          </m:e>
          <m:sub>
            <m:r>
              <m:t>hard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>), (iv) контроля некорректных состояний модели (NaN/inf).</w:t>
      </w:r>
    </w:p>
    <w:p>
      <w:pPr>
        <w:spacing w:before="120" w:after="60" w:line="240" w:lineRule="auto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4.5. Обучение PPO и дистилляция в LUT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обучения используется PPO [8] как устойчивый к шуму и ограниченным шагам градиентный метод, применимый к непрерывному действию. Обучение проводится в цифровом двойнике; далее политика может быть: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применена в виде нейросети на вычислительно мощном контроллере;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дистиллирована в таблицу LUT (look-up table) для микроконтроллера при фиксированном формате наблюдений, что показано на рис. 1.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Параметры обучения и используемые веса критерия приведены в табл. 2.</w:t>
      </w:r>
    </w:p>
    <w:p>
      <w:pPr>
        <w:spacing w:before="120" w:after="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Таблица 2 – Параметры обучения PPO и настройки ограничений MIC AI (единые для всех трех двигателей)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Параметр</w:t>
            </w:r>
          </w:p>
        </w:tc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Значение</w:t>
            </w:r>
          </w:p>
        </w:tc>
      </w:tr>
      <w:tr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эпизодов обучения</w:t>
            </w:r>
          </w:p>
        </w:tc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40</w:t>
            </w:r>
          </w:p>
        </w:tc>
      </w:tr>
      <w:tr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Длина эпизода, шагов</w:t>
            </w:r>
          </w:p>
        </w:tc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4000</w:t>
            </w:r>
          </w:p>
        </w:tc>
      </w:tr>
      <w:tr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 моделирования dt, с</w:t>
            </w:r>
          </w:p>
        </w:tc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0,001</w:t>
            </w:r>
          </w:p>
        </w:tc>
      </w:tr>
      <w:tr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Длительность сценария T, с</w:t>
            </w:r>
          </w:p>
        </w:tc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2,0</w:t>
            </w:r>
          </w:p>
        </w:tc>
      </w:tr>
      <w:tr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Доля установившегося окна</w:t>
            </w:r>
          </w:p>
        </w:tc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0,30</w:t>
            </w:r>
          </w:p>
        </w:tc>
      </w:tr>
      <w:tr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Δi_d,max (масштаб действия, отн.)</w:t>
            </w:r>
          </w:p>
        </w:tc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0,20</w:t>
            </w:r>
          </w:p>
        </w:tc>
      </w:tr>
      <w:tr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α (сглаживание i_d,ref)</w:t>
            </w:r>
          </w:p>
        </w:tc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0,10</w:t>
            </w:r>
          </w:p>
        </w:tc>
      </w:tr>
      <w:tr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e_tol,rel (допуск скорости для γ_k)</w:t>
            </w:r>
          </w:p>
        </w:tc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0,03</w:t>
            </w:r>
          </w:p>
        </w:tc>
      </w:tr>
      <w:tr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e_gate,rel (допуск скорости для g_k)</w:t>
            </w:r>
          </w:p>
        </w:tc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0,07</w:t>
            </w:r>
          </w:p>
        </w:tc>
      </w:tr>
      <w:tr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ν (показатель шлюза g_k)</w:t>
            </w:r>
          </w:p>
        </w:tc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1,5</w:t>
            </w:r>
          </w:p>
        </w:tc>
      </w:tr>
      <w:tr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w_speed</w:t>
            </w:r>
          </w:p>
        </w:tc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2,0</w:t>
            </w:r>
          </w:p>
        </w:tc>
      </w:tr>
      <w:tr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w_power</w:t>
            </w:r>
          </w:p>
        </w:tc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6,0</w:t>
            </w:r>
          </w:p>
        </w:tc>
      </w:tr>
      <w:tr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w_current</w:t>
            </w:r>
          </w:p>
        </w:tc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0,2</w:t>
            </w:r>
          </w:p>
        </w:tc>
      </w:tr>
      <w:tr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w_smooth</w:t>
            </w:r>
          </w:p>
        </w:tc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0,02</w:t>
            </w:r>
          </w:p>
        </w:tc>
      </w:tr>
      <w:tr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w_mag</w:t>
            </w:r>
          </w:p>
        </w:tc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0,01</w:t>
            </w:r>
          </w:p>
        </w:tc>
      </w:tr>
      <w:tr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w_shaft</w:t>
            </w:r>
          </w:p>
        </w:tc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6,0</w:t>
            </w:r>
          </w:p>
        </w:tc>
      </w:tr>
      <w:tr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w_η</w:t>
            </w:r>
          </w:p>
        </w:tc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2,0</w:t>
            </w:r>
          </w:p>
        </w:tc>
      </w:tr>
      <w:tr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η_clip</w:t>
            </w:r>
          </w:p>
        </w:tc>
        <w:tc>
          <w:tcPr>
            <w:tcW w:type="dxa" w:w="453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1,0</w:t>
            </w:r>
          </w:p>
        </w:tc>
      </w:tr>
    </w:tbl>
    <w:p>
      <w:pPr>
        <w:spacing w:before="0" w:after="40" w:line="240" w:lineRule="auto"/>
        <w:jc w:val="both"/>
      </w:pPr>
    </w:p>
    <w:p>
      <w:pPr>
        <w:spacing w:before="160" w:after="80" w:line="240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5. Методика исследования</w:t>
      </w:r>
    </w:p>
    <w:p>
      <w:pPr>
        <w:spacing w:before="120" w:after="60" w:line="240" w:lineRule="auto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5.1. Объекты исследования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объектов выбраны три асинхронных двигателя различной мощности. Параметры двигателя используются только внутри цифрового двойника; MIC AI не получает их во входных данных.</w:t>
      </w:r>
    </w:p>
    <w:p>
      <w:pPr>
        <w:spacing w:before="120" w:after="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Таблица 3 – Исследованные двигатели и конфигурации цифрового двойника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Двигатель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Номинальная мощность, кВт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Конфигурация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АИР56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0,25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config/env_research_air56_025kw.py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АЛ-31-4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0,60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config/env_research_al31_4_06kw.py</w:t>
            </w:r>
          </w:p>
        </w:tc>
      </w:tr>
      <w:tr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АО2-32-4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3,00</w:t>
            </w:r>
          </w:p>
        </w:tc>
        <w:tc>
          <w:tcPr>
            <w:tcW w:type="dxa" w:w="302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config/env_research_ao2_32_4_3kw.py</w:t>
            </w:r>
          </w:p>
        </w:tc>
      </w:tr>
    </w:tbl>
    <w:p>
      <w:pPr>
        <w:spacing w:before="0" w:after="40" w:line="240" w:lineRule="auto"/>
        <w:jc w:val="both"/>
      </w:pPr>
    </w:p>
    <w:p>
      <w:pPr>
        <w:spacing w:before="120" w:after="60" w:line="240" w:lineRule="auto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5.2. Сценарии режимов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Оценка выполнена на пяти сценариях: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Установившийся режим — постоянные </w:t>
      </w:r>
      <m:oMath xmlns:mml="http://www.w3.org/1998/Math/MathML">
        <m:sSub>
          <m:e>
            <m:r>
              <m:t>ω</m:t>
            </m:r>
          </m:e>
          <m:sub>
            <m:r>
              <m:t>ref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m:oMath xmlns:mml="http://www.w3.org/1998/Math/MathML">
        <m:sSub>
          <m:e>
            <m:r>
              <m:t>M</m:t>
            </m:r>
          </m:e>
          <m:sub>
            <m:r>
              <m:t>н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Ступень скорости — скачкообразное изменение </w:t>
      </w:r>
      <m:oMath xmlns:mml="http://www.w3.org/1998/Math/MathML">
        <m:sSub>
          <m:e>
            <m:r>
              <m:t>ω</m:t>
            </m:r>
          </m:e>
          <m:sub>
            <m:r>
              <m:t>ref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Разгон/торможение — линейное изменение </w:t>
      </w:r>
      <m:oMath xmlns:mml="http://www.w3.org/1998/Math/MathML">
        <m:sSub>
          <m:e>
            <m:r>
              <m:t>ω</m:t>
            </m:r>
          </m:e>
          <m:sub>
            <m:r>
              <m:t>ref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Профиль нагрузки — изменение </w:t>
      </w:r>
      <m:oMath xmlns:mml="http://www.w3.org/1998/Math/MathML">
        <m:sSub>
          <m:e>
            <m:r>
              <m:t>M</m:t>
            </m:r>
          </m:e>
          <m:sub>
            <m:r>
              <m:t>н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при фиксированной </w:t>
      </w:r>
      <m:oMath xmlns:mml="http://www.w3.org/1998/Math/MathML">
        <m:sSub>
          <m:e>
            <m:r>
              <m:t>ω</m:t>
            </m:r>
          </m:e>
          <m:sub>
            <m:r>
              <m:t>ref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Пуск—стоп — циклические пуски и остановы.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всех сценариев используется одинаковая длительность моделирования </w:t>
      </w:r>
      <m:oMath xmlns:mml="http://www.w3.org/1998/Math/MathML">
        <m:r>
          <m:t>T=2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с и шаг интегрирования </w:t>
      </w:r>
      <m:oMath xmlns:mml="http://www.w3.org/1998/Math/MathML">
        <m:r>
          <m:t>dt=1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мс; это исключает смещение метрик из-за различий горизонта сравнения.</w:t>
      </w:r>
    </w:p>
    <w:p>
      <w:pPr>
        <w:spacing w:before="120" w:after="60" w:line="240" w:lineRule="auto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5.3. Протокол сравнения MIC AI и FOC</w:t>
      </w:r>
    </w:p>
    <w:p>
      <w:pPr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Для каждого двигателя обучается политика PPO в цифровом двойнике при рандомизации сценариев.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Для выбранного чекпойнта выполняется детерминированная оценка MIC AI и базового FOC на одном и том же наборе сценариев.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Метрики вычисляются для полного интервала </w:t>
      </w:r>
      <m:oMath xmlns:mml="http://www.w3.org/1998/Math/MathML">
        <m:r>
          <m:t>[0,T]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и для «установившегося окна» (последние 30 % временного ряда; для сценария «пуск—стоп» — последние 30 % участка плато при </w:t>
      </w:r>
      <m:oMath xmlns:mml="http://www.w3.org/1998/Math/MathML">
        <m:sSub>
          <m:e>
            <m:r>
              <m:t>ω</m:t>
            </m:r>
          </m:e>
          <m:sub>
            <m:r>
              <m:t>ref</m:t>
            </m:r>
          </m:sub>
        </m:sSub>
        <m:r>
          <m:t>≈</m:t>
        </m:r>
        <m:r>
          <m:rPr>
            <m:sty m:val="p"/>
          </m:rPr>
          <m:t>const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>), что позволяет разделить влияние переходных процессов и стационарной оптимизации потока.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Качество регулирования контролируется по отношению ошибок </w:t>
      </w:r>
      <m:oMath xmlns:mml="http://www.w3.org/1998/Math/MathML">
        <m:sSub>
          <m:e>
            <m:r>
              <m:t>ρ</m:t>
            </m:r>
          </m:e>
          <m:sub>
            <m:r>
              <m:t>MAE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и по соблюдению ограничений скорости (gate/ограничения не допускают деградации регулирования).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Дополнительная проверка достоверности выигрыша: чтобы исключить «ложную экономию» за счет уменьшения выполненной механической работы, отдельно вычислялась работа нагрузки</w:t>
      </w:r>
    </w:p>
    <w:p>
      <w:pPr>
        <w:spacing w:before="40" w:after="120" w:line="240" w:lineRule="auto"/>
        <w:jc w:val="center"/>
      </w:pPr>
      <m:oMath xmlns:mml="http://www.w3.org/1998/Math/MathML">
        <m:sSub>
          <m:e>
            <m:r>
              <m:t>E</m:t>
            </m:r>
          </m:e>
          <m:sub>
            <m:r>
              <m:t>н</m:t>
            </m:r>
          </m:sub>
        </m:sSub>
        <m:r>
          <m:t>=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/>
        </m:nary>
        <m:sSub>
          <m:e>
            <m:r>
              <m:t>M</m:t>
            </m:r>
          </m:e>
          <m:sub>
            <m:r>
              <m:t>н</m:t>
            </m:r>
          </m:sub>
        </m:sSub>
        <m:r>
          <m:t>(t)</m:t>
        </m:r>
        <m:r>
          <m:t>ω(t)</m:t>
        </m:r>
        <m:r>
          <m:t>dt,</m:t>
        </m:r>
      </m:oMath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где </w:t>
      </w:r>
      <m:oMath xmlns:mml="http://www.w3.org/1998/Math/MathML">
        <m:sSub>
          <m:e>
            <m:r>
              <m:t>M</m:t>
            </m:r>
          </m:e>
          <m:sub>
            <m:r>
              <m:t>н</m:t>
            </m:r>
          </m:sub>
        </m:sSub>
        <m:r>
          <m:t>(t)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задается сценарием. Во всех 15 комбинациях «двигатель—сценарий» отношение </w:t>
      </w:r>
      <m:oMath xmlns:mml="http://www.w3.org/1998/Math/MathML">
        <m:f>
          <m:fPr>
            <m:type m:val="lin"/>
          </m:fPr>
          <m:num>
            <m:sSubSup>
              <m:e>
                <m:r>
                  <m:t>E</m:t>
                </m:r>
              </m:e>
              <m:sub>
                <m:r>
                  <m:t>н</m:t>
                </m:r>
              </m:sub>
              <m:sup>
                <m:r>
                  <m:t>MIC</m:t>
                </m:r>
              </m:sup>
            </m:sSubSup>
          </m:num>
          <m:den>
            <m:sSubSup>
              <m:e>
                <m:r>
                  <m:t>E</m:t>
                </m:r>
              </m:e>
              <m:sub>
                <m:r>
                  <m:t>н</m:t>
                </m:r>
              </m:sub>
              <m:sup>
                <m:r>
                  <m:t>FOC</m:t>
                </m:r>
              </m:sup>
            </m:sSubSup>
          </m:den>
        </m:f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находилось в диапазоне </w:t>
      </w:r>
      <m:oMath xmlns:mml="http://www.w3.org/1998/Math/MathML">
        <m:r>
          <m:t>[0</m:t>
        </m:r>
        <m:r>
          <m:t>,</m:t>
        </m:r>
        <m:r>
          <m:t>999;</m:t>
        </m:r>
        <m:r>
          <m:t>1</m:t>
        </m:r>
        <m:r>
          <m:t>,</m:t>
        </m:r>
        <m:r>
          <m:t>016]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для полного интервала и </w:t>
      </w:r>
      <m:oMath xmlns:mml="http://www.w3.org/1998/Math/MathML">
        <m:r>
          <m:t>[0</m:t>
        </m:r>
        <m:r>
          <m:t>,</m:t>
        </m:r>
        <m:r>
          <m:t>992;</m:t>
        </m:r>
        <m:r>
          <m:t>1</m:t>
        </m:r>
        <m:r>
          <m:t>,</m:t>
        </m:r>
        <m:r>
          <m:t>007]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для установившегося окна, то есть MIC AI сохранял сопоставимый объем выполненной работы при снижении </w:t>
      </w:r>
      <m:oMath xmlns:mml="http://www.w3.org/1998/Math/MathML">
        <m:sSub>
          <m:e>
            <m:r>
              <m:t>P</m:t>
            </m:r>
          </m:e>
          <m:sub>
            <m:r>
              <m:t>вх+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Чтобы исключить возможный артефакт, связанный с отсечением отрицательных значений в определении </w:t>
      </w:r>
      <m:oMath xmlns:mml="http://www.w3.org/1998/Math/MathML">
        <m:sSub>
          <m:e>
            <m:r>
              <m:t>P</m:t>
            </m:r>
          </m:e>
          <m:sub>
            <m:r>
              <m:t>вх+</m:t>
            </m:r>
          </m:sub>
        </m:sSub>
        <m:r>
          <m:t>(t)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, дополнительно контролировалась экономия по знаковой (неотсеченной) средней мощности </w:t>
      </w:r>
      <m:oMath xmlns:mml="http://www.w3.org/1998/Math/MathML">
        <m:acc>
          <m:accPr>
            <m:chr m:val="―"/>
          </m:accPr>
          <m:e>
            <m:sSub>
              <m:e>
                <m:r>
                  <m:t>P</m:t>
                </m:r>
              </m:e>
              <m:sub>
                <m:r>
                  <m:t>вх</m:t>
                </m:r>
              </m:sub>
            </m:sSub>
          </m:e>
        </m:acc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. Для всех комбинаций «двигатель—сценарий» знак выигрыша совпадал с оценкой по </w:t>
      </w:r>
      <m:oMath xmlns:mml="http://www.w3.org/1998/Math/MathML">
        <m:sSub>
          <m:e>
            <m:r>
              <m:t>P</m:t>
            </m:r>
          </m:e>
          <m:sub>
            <m:r>
              <m:t>вх+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(валидационный отчет формируется автоматически в paper/pgups_2026/data/validation_report_pgups_2026.csv).</w:t>
      </w:r>
    </w:p>
    <w:p>
      <w:pPr>
        <w:spacing w:before="160" w:after="80" w:line="240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6. Результаты и обсуждение</w:t>
      </w:r>
    </w:p>
    <w:p>
      <w:pPr>
        <w:spacing w:before="120" w:after="60" w:line="240" w:lineRule="auto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6.1. Сводные результаты по двигателям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рис. 2 приведено сравнение MIC AI и FOC по экономии Pвх+ и изменению интегрального КПД. Численные значения сведены в табл. 4.</w:t>
      </w:r>
    </w:p>
    <w:p>
      <w:r>
        <w:drawing>
          <wp:inline xmlns:a="http://schemas.openxmlformats.org/drawingml/2006/main" xmlns:pic="http://schemas.openxmlformats.org/drawingml/2006/picture">
            <wp:extent cx="5688000" cy="43112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ulti_motor_summary_r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311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2 – Сводное сравнение MIC AI и FOC по экономии Pвх+ и изменению КПД η (полный интервал и установившееся окно)</w:t>
      </w:r>
    </w:p>
    <w:p>
      <w:pPr>
        <w:spacing w:before="120" w:after="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Таблица 4 – Сводные результаты MIC AI относительно FOC (усреднение по пяти сценариям)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Двигатель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Экономия Pвх+, % (полный интервал)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Экономия Pвх+, % (установившееся окно)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Изменение η, % (полный интервал)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Изменение η, % (установившееся окно)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max ρ_MAE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АИР56 0,25 кВт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2,20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4,44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2,14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0,89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0,988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АЛ-31-4 0,6 кВт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3,38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−0,05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2,58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0,00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0,976</w:t>
            </w:r>
          </w:p>
        </w:tc>
      </w:tr>
      <w:tr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АО2-32-4 3,0 кВт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−0,17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−0,47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−0,17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−0,83</w:t>
            </w:r>
          </w:p>
        </w:tc>
        <w:tc>
          <w:tcPr>
            <w:tcW w:type="dxa" w:w="151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1,023</w:t>
            </w:r>
          </w:p>
        </w:tc>
      </w:tr>
    </w:tbl>
    <w:p>
      <w:pPr>
        <w:spacing w:before="0" w:after="40" w:line="240" w:lineRule="auto"/>
        <w:jc w:val="both"/>
      </w:pP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среднем по трем двигателям экономия Pвх+ составила 1,80 % на полном интервале и 1,31 % в установившемся окне; при этом </w:t>
      </w:r>
      <m:oMath xmlns:mml="http://www.w3.org/1998/Math/MathML">
        <m:r>
          <m:t>max</m:t>
        </m:r>
        <m:sSub>
          <m:e>
            <m:r>
              <m:t>ρ</m:t>
            </m:r>
          </m:e>
          <m:sub>
            <m:r>
              <m:t>MAE</m:t>
            </m:r>
          </m:sub>
        </m:sSub>
        <m:r>
          <m:t>=1</m:t>
        </m:r>
        <m:r>
          <m:t>,</m:t>
        </m:r>
        <m:r>
          <m:t>023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before="120" w:after="60" w:line="240" w:lineRule="auto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6.2. Сценарная картина выигрыша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Сценарные результаты по экономии Pвх+ показаны на рис. 3. Эффект распределен неравномерно: наибольший средний выигрыш достигается в режиме «пуск—стоп», а также в сценариях со сменой скорости (ступень, разгон/торможение). В ряде комбинаций для двигателя АО2-32-4 экономия по Pвх+ близка к нулю или отрицательна (до −0,49 % на полном интервале и до −2,25 % в установившемся окне в сценарии «профиль нагрузки»), что указывает на ограниченный потенциал оптимизации потока при заданных ограничениях по качеству.</w:t>
      </w:r>
    </w:p>
    <w:p>
      <w:r>
        <w:drawing>
          <wp:inline xmlns:a="http://schemas.openxmlformats.org/drawingml/2006/main" xmlns:pic="http://schemas.openxmlformats.org/drawingml/2006/picture">
            <wp:extent cx="5688000" cy="23854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ulti_motor_scenario_heatmap_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385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3 – Экономия Pвх+ по сценариям для трех двигателей, % (MIC AI относительно FOC)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интерпретации важно отметить, что MIC AI оптимизирует только i_d,ref и поэтому влияет на баланс потерь опосредованно, через выбор потока при ограничениях по току/моменту. В части режимов базовый FOC уже близок к компромиссному значению потока, что ограничивает потенциальный выигрыш. Тем не менее, в 11 из 15 комбинаций «двигатель—сценарий» получена неотрицательная экономия Pвх+ на полном интервале; для всех комбинаций дополнительно подтверждено сохранение сопоставимой работы нагрузки (см. разд. 5.3).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Наибольшая «локальная» экономия на полном интервале получена для двигателя АЛ-31-4 в режиме «пуск—стоп»: средняя мощность Pвх+ снизилась с 456 до 430 Вт (экономия 5,60 %), при этом ρ_MAE=0,951. Максимальная экономия в установившемся окне наблюдается у двигателя АИР56 в режиме «пуск—стоп»: Pвх+ снизилась с 230 до 214 Вт (экономия 6,92 %) при ρ_MAE=0,988. В относительных процентах эффект выглядит заметнее для частичных нагрузок, где потери на намагничивание и в силовой электронике сравнимы с полезной мощностью и чувствительны к выбору i_d,ref.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объяснения разброса выигрыша по двигателям выполнена дополнительная проверка «потенциала оптимизации потока» (flux headroom): для каждого двигателя в двух режимах («установившийся режим» и «ступень скорости») проведен перебор </w:t>
      </w:r>
      <m:oMath xmlns:mml="http://www.w3.org/1998/Math/MathML">
        <m:sSub>
          <m:e>
            <m:r>
              <m:t>i</m:t>
            </m:r>
          </m:e>
          <m:sub>
            <m:r>
              <m:t>d,ref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в базовом FOC, а затем выбран минимум </w:t>
      </w:r>
      <m:oMath xmlns:mml="http://www.w3.org/1998/Math/MathML">
        <m:sSub>
          <m:e>
            <m:acc>
              <m:accPr>
                <m:chr m:val="―"/>
              </m:accPr>
              <m:e>
                <m:r>
                  <m:t>P</m:t>
                </m:r>
              </m:e>
            </m:acc>
          </m:e>
          <m:sub>
            <m:r>
              <m:t>вх+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в установившемся окне при ограничении по ошибке скорости </w:t>
      </w:r>
      <m:oMath xmlns:mml="http://www.w3.org/1998/Math/MathML">
        <m:r>
          <m:t>MAE≤1</m:t>
        </m:r>
        <m:r>
          <m:t>,</m:t>
        </m:r>
        <m:r>
          <m:t>05·MA</m:t>
        </m:r>
        <m:sSub>
          <m:e>
            <m:r>
              <m:t>E</m:t>
            </m:r>
          </m:e>
          <m:sub>
            <m:r>
              <m:t>FOC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(тот же допуск, что и в протоколе сравнения). Полученная величина трактуется как верхняя оценка выигрыша, достижимого одной лишь оптимизацией потока без изменения структуры внутреннего контура. Результаты приведены в табл. 5. Видно, что для двигателя АЛ-31-4 базовое значение </w:t>
      </w:r>
      <m:oMath xmlns:mml="http://www.w3.org/1998/Math/MathML">
        <m:sSub>
          <m:e>
            <m:r>
              <m:t>i</m:t>
            </m:r>
          </m:e>
          <m:sub>
            <m:r>
              <m:t>d,base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уже близко к оптимальному, поэтому потенциальная экономия практически отсутствует (не более 0,52 %). Для двигателя АО2-32-4 в установившемся режиме потенциал равен 0 %, тогда как при ступени скорости возможен выигрыш порядка 4,20 %. Для двигателя АИР56 наблюдается наибольший запас (до 9,42 % при ступени скорости), что согласуется с заметной экономией на рис. 3.</w:t>
      </w:r>
    </w:p>
    <w:p>
      <w:pPr>
        <w:spacing w:before="120" w:after="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Таблица 5 – Потенциал экономии </w:t>
      </w:r>
      <m:oMath xmlns:mml="http://www.w3.org/1998/Math/MathML">
        <m:sSub>
          <m:e>
            <m:r>
              <m:t>P</m:t>
            </m:r>
          </m:e>
          <m:sub>
            <m:r>
              <m:t>вх+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при оптимальном выборе </w:t>
      </w:r>
      <m:oMath xmlns:mml="http://www.w3.org/1998/Math/MathML">
        <m:sSub>
          <m:e>
            <m:r>
              <m:t>i</m:t>
            </m:r>
          </m:e>
          <m:sub>
            <m:r>
              <m:t>d,ref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в FOC (установившееся окно, ограничение по </w:t>
      </w:r>
      <m:oMath xmlns:mml="http://www.w3.org/1998/Math/MathML">
        <m:r>
          <m:t>MAE</m:t>
        </m:r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скорости)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Двигатель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Режим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m:oMath xmlns:mml="http://www.w3.org/1998/Math/MathML">
              <m:sSub>
                <m:e>
                  <m:r>
                    <m:t>i</m:t>
                  </m:r>
                </m:e>
                <m:sub>
                  <m:r>
                    <m:t>d,base</m:t>
                  </m:r>
                </m:sub>
              </m:sSub>
            </m:oMath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, А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m:oMath xmlns:mml="http://www.w3.org/1998/Math/MathML">
              <m:sSub>
                <m:e>
                  <m:r>
                    <m:t>P</m:t>
                  </m:r>
                </m:e>
                <m:sub>
                  <m:r>
                    <m:t>вх+</m:t>
                  </m:r>
                </m:sub>
              </m:sSub>
            </m:oMath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, баз., Вт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m:oMath xmlns:mml="http://www.w3.org/1998/Math/MathML">
              <m:sSub>
                <m:e>
                  <m:r>
                    <m:t>i</m:t>
                  </m:r>
                </m:e>
                <m:sub>
                  <m:r>
                    <m:t>d,opt</m:t>
                  </m:r>
                </m:sub>
              </m:sSub>
            </m:oMath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, А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m:oMath xmlns:mml="http://www.w3.org/1998/Math/MathML">
              <m:sSub>
                <m:e>
                  <m:r>
                    <m:t>P</m:t>
                  </m:r>
                </m:e>
                <m:sub>
                  <m:r>
                    <m:t>вх+</m:t>
                  </m:r>
                </m:sub>
              </m:sSub>
            </m:oMath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, opt, Вт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Потенциал экономии, %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АИР56 0,25 кВт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Ступень скорости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1,35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94,1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2,00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85,2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9,42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АИР56 0,25 кВт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Установившийся режим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1,35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87,6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1,73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85,1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2,93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АЛ-31-4 0,6 кВт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Ступень скорости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1,50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185,2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0,65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184,3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0,52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АЛ-31-4 0,6 кВт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Установившийся режим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1,50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186,0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0,83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185,9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0,02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АО2-32-4 3,0 кВт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Ступень скорости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1,80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193,1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1,91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185,0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4,20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АО2-32-4 3,0 кВт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Установившийся режим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1,80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192,6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1,80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192,6</w:t>
            </w:r>
          </w:p>
        </w:tc>
        <w:tc>
          <w:tcPr>
            <w:tcW w:type="dxa" w:w="129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0,00</w:t>
            </w:r>
          </w:p>
        </w:tc>
      </w:tr>
    </w:tbl>
    <w:p>
      <w:pPr>
        <w:spacing w:before="0" w:after="40" w:line="240" w:lineRule="auto"/>
        <w:jc w:val="both"/>
      </w:pPr>
    </w:p>
    <w:p>
      <w:pPr>
        <w:spacing w:before="120" w:after="60" w:line="240" w:lineRule="auto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6.3. Сравнение механических характеристик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Сопоставление механических характеристик (нормированные зависимости момента </w:t>
      </w:r>
      <m:oMath xmlns:mml="http://www.w3.org/1998/Math/MathML"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, скорости </w:t>
      </w:r>
      <m:oMath xmlns:mml="http://www.w3.org/1998/Math/MathML">
        <m:r>
          <m:t>n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, тока </w:t>
      </w:r>
      <m:oMath xmlns:mml="http://www.w3.org/1998/Math/MathML"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и КПД) приведено на рис. 4. Для всех трех двигателей MIC AI сохраняет форму характеристик, близкую к базовому FOC, что подтверждает корректность «надстроечного» принципа: внутренняя структура FOC не нарушается, а внешняя оптимизация потока не приводит к деградации управления.</w:t>
      </w:r>
    </w:p>
    <w:p>
      <w:r>
        <w:drawing>
          <wp:inline xmlns:a="http://schemas.openxmlformats.org/drawingml/2006/main" xmlns:pic="http://schemas.openxmlformats.org/drawingml/2006/picture">
            <wp:extent cx="5688000" cy="74425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ulti_motor_mech_r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7442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4 – Механические характеристики: зависимости M2, n, I1 и η от P2 (нормирование по максимуму; FOC — сплошная линия; MIC AI — пунктир)</w:t>
      </w:r>
    </w:p>
    <w:p>
      <w:pPr>
        <w:spacing w:before="120" w:after="60" w:line="240" w:lineRule="auto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6.4. Временные диаграммы потребления и накопленного КПД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 рис. 5 показаны временные диаграммы Pвх+(t) и накопленного КПД </w:t>
      </w:r>
      <m:oMath xmlns:mml="http://www.w3.org/1998/Math/MathML">
        <m:sSub>
          <m:e>
            <m:r>
              <m:t>η</m:t>
            </m:r>
          </m:e>
          <m:sub>
            <m:r>
              <m:t>cum</m:t>
            </m:r>
          </m:sub>
        </m:sSub>
        <m:r>
          <m:t>(t)=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t>(t)/</m:t>
        </m:r>
        <m:sSub>
          <m:e>
            <m:r>
              <m:t>E</m:t>
            </m:r>
          </m:e>
          <m:sub>
            <m:r>
              <m:t>вх</m:t>
            </m:r>
          </m:sub>
        </m:sSub>
        <m:r>
          <m:t>(t)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 в режиме «пуск—стоп». Данный режим является чувствительным к настройке потока, поскольку включает многократные разгоны и торможения, а также участки малой скорости, где относительная доля потерь возрастает.</w:t>
      </w:r>
    </w:p>
    <w:p>
      <w:r>
        <w:drawing>
          <wp:inline xmlns:a="http://schemas.openxmlformats.org/drawingml/2006/main" xmlns:pic="http://schemas.openxmlformats.org/drawingml/2006/picture">
            <wp:extent cx="5688000" cy="28754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ulti_motor_power_eta_time_r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87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5 – Сравнение Pвх+(t) и накопленного КПД в режиме «пуск—стоп» (FOC — сплошная линия; MIC AI — пунктир)</w:t>
      </w:r>
    </w:p>
    <w:p>
      <w:pPr>
        <w:spacing w:before="120" w:after="60" w:line="240" w:lineRule="auto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6.5. Обучаемость: время выхода на уровень FOC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табл. 6 приведено время обучения до достижения уровней «не хуже FOC» и «лучше FOC» по критериям:</w:t>
      </w:r>
    </w:p>
    <w:p>
      <w:pPr>
        <w:spacing w:before="40" w:after="120" w:line="240" w:lineRule="auto"/>
        <w:jc w:val="center"/>
      </w:pPr>
      <m:oMath xmlns:mml="http://www.w3.org/1998/Math/MathML">
        <m:r>
          <m:rPr>
            <m:nor/>
          </m:rPr>
          <m:t>«не хуже FOC»</m:t>
        </m:r>
        <m:r>
          <m:t>:</m:t>
        </m:r>
        <m:r>
          <m:t>max</m:t>
        </m:r>
        <m:sSub>
          <m:e>
            <m:r>
              <m:t>ρ</m:t>
            </m:r>
          </m:e>
          <m:sub>
            <m:r>
              <m:t>MAE</m:t>
            </m:r>
          </m:sub>
        </m:sSub>
        <m:r>
          <m:t>≤1</m:t>
        </m:r>
        <m:r>
          <m:t>,</m:t>
        </m:r>
        <m:r>
          <m:t>05;</m:t>
        </m:r>
        <m:r>
          <m:rPr>
            <m:nor/>
          </m:rPr>
          <m:t>«лучше FOC»</m:t>
        </m:r>
        <m:r>
          <m:t>:</m:t>
        </m:r>
        <m:r>
          <m:t>max</m:t>
        </m:r>
        <m:sSub>
          <m:e>
            <m:r>
              <m:t>ρ</m:t>
            </m:r>
          </m:e>
          <m:sub>
            <m:r>
              <m:t>MAE</m:t>
            </m:r>
          </m:sub>
        </m:sSub>
        <m:r>
          <m:t>≤1</m:t>
        </m:r>
        <m:r>
          <m:t>,</m:t>
        </m:r>
        <m:r>
          <m:t>05</m:t>
        </m:r>
        <m:r>
          <m:rPr>
            <m:nor/>
          </m:rPr>
          <m:t> </m:t>
        </m:r>
        <m:r>
          <m:t>∧</m:t>
        </m:r>
        <m:r>
          <m:rPr>
            <m:nor/>
          </m:rPr>
          <m:t> </m:t>
        </m:r>
        <m:acc>
          <m:accPr>
            <m:chr m:val="―"/>
          </m:accPr>
          <m:e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</m:e>
        </m:acc>
        <m:r>
          <m:t>&gt;0.</m:t>
        </m:r>
      </m:oMath>
    </w:p>
    <w:p>
      <w:pPr>
        <w:spacing w:before="120" w:after="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Таблица 6 – Время достижения уровней качества (по данным обучения; «стендовое» время — вычислительное время на модельном стенде)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Двигатель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Эпизод «не хуже FOC»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Время, с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Эпизод «лучше FOC»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Время, с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АИР56 0,25 кВт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17,4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17,4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АЛ-31-4 0,6 кВт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12,0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12,0</w:t>
            </w:r>
          </w:p>
        </w:tc>
      </w:tr>
      <w:tr>
        <w:tc>
          <w:tcPr>
            <w:tcW w:type="dxa" w:w="181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АО2-32-4 3,0 кВт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22,7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81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</w:tr>
    </w:tbl>
    <w:p>
      <w:pPr>
        <w:spacing w:before="0" w:after="40" w:line="240" w:lineRule="auto"/>
        <w:jc w:val="both"/>
      </w:pP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Примечание: для двигателя АО2-32-4 критерий «лучше FOC» в пределах 40 эпизодов обучения не достигнут.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Графическое представление итоговой экономии и времени выхода на уровень FOC приведено на рис. 6.</w:t>
      </w:r>
    </w:p>
    <w:p>
      <w:r>
        <w:drawing>
          <wp:inline xmlns:a="http://schemas.openxmlformats.org/drawingml/2006/main" xmlns:pic="http://schemas.openxmlformats.org/drawingml/2006/picture">
            <wp:extent cx="5688000" cy="41522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earning_vs_foc_ru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152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Рисунок 6 – Итоговая экономия MIC AI относительно FOC и время достижения уровней «не хуже/лучше FOC»</w:t>
      </w:r>
    </w:p>
    <w:p>
      <w:pPr>
        <w:spacing w:before="160" w:after="80" w:line="240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7. Заключение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Предложен и исследован модельно-независимый алгоритм MIC AI, реализующий самообучающуюся оптимизацию потока как внешний supervisory-слой над классическим FOC. На трех асинхронных двигателях разных типоразмеров показано, что корректировка </w:t>
      </w:r>
      <m:oMath xmlns:mml="http://www.w3.org/1998/Math/MathML">
        <m:sSub>
          <m:e>
            <m:r>
              <m:t>i</m:t>
            </m:r>
          </m:e>
          <m:sub>
            <m:r>
              <m:t>d,ref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8"/>
        </w:rPr>
        <w:t xml:space="preserve">, выученная в цифровом двойнике, позволяет снизить положительную составляющую входной мощности Pвх+ при сохранении качества регулирования скорости. Средняя экономия составила 1,80 % на полном интервале и 1,31 % в установившемся окне при </w:t>
      </w:r>
      <m:oMath xmlns:mml="http://www.w3.org/1998/Math/MathML">
        <m:r>
          <m:t>max</m:t>
        </m:r>
        <m:sSub>
          <m:e>
            <m:r>
              <m:t>ρ</m:t>
            </m:r>
          </m:e>
          <m:sub>
            <m:r>
              <m:t>MAE</m:t>
            </m:r>
          </m:sub>
        </m:sSub>
        <m:r>
          <m:t>=1</m:t>
        </m:r>
        <m:r>
          <m:t>,</m:t>
        </m:r>
        <m:r>
          <m:t>023</m:t>
        </m:r>
      </m:oMath>
      <w:r>
        <w:rPr>
          <w:rFonts w:ascii="Times New Roman" w:hAnsi="Times New Roman" w:eastAsia="Times New Roman"/>
          <w:b w:val="0"/>
          <w:i w:val="0"/>
          <w:sz w:val="28"/>
        </w:rPr>
        <w:t>; неотрицательная экономия на полном интервале получена в 11 из 15 комбинаций «двигатель—сценарий». Наибольший эффект проявляется в режимах с выраженной нестационарностью (в частности, «пуск—стоп»), где фиксированное задание потока является наименее оптимальным.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Дальнейшая работа направлена на расширение набора режимов, строгую формализацию ограничений (constrained RL) и перенос MIC AI на микроконтроллеры с подтверждением результатов на стенде.</w:t>
      </w:r>
    </w:p>
    <w:p>
      <w:pPr>
        <w:spacing w:before="120" w:after="60" w:line="240" w:lineRule="auto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Список источников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 Blaschke F. The principle of field orientation as applied to the new transvector closed-loop control system for rotating-field machines // Siemens Review. 1972. Vol. 39. No. 5. P. 217–220.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 Leonhard W. Control of Electrical Drives. 3rd ed. Berlin: Springer, 2001. 460 p.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 Vas P. Sensorless Vector and Direct Torque Control. Oxford: Oxford University Press, 1998. 729 p.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4. Krause P. C., Wasynczuk O., Sudhoff S. D., Pekarek S. Analysis of Electric Machinery and Drive Systems. 3rd ed. Hoboken: Wiley-IEEE Press, 2013. 680 p.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5. Boldea I., Nasar S. A. Electric Drives. 3rd ed. Boca Raton: CRC Press, 2010. 544 p.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6. Ключев В. И. Теория электропривода. 2-е изд. М.: Энергоатомиздат, 2001. 704 с.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7. Сандлер А. С., Сарбатов Р. С. Автоматическое управление электроприводами. М.: Энергия, 1974. 560 с.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8. Schulman J., Wolski F., Dhariwal P., Radford A., Klimov O. Proximal Policy Optimization Algorithms // arXiv:1707.06347. 2017.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9. Sutton R. S., Barto A. G. Reinforcement Learning: An Introduction. 2nd ed. Cambridge, MA: MIT Press, 2018. 552 p.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10. Raffin A., Hill A., Gleave A., Kanervisto A., Ernestus M., Dormann N. Stable-Baselines3: Reliable Reinforcement Learning Implementations // Journal of Machine Learning Research. 2021. Vol. 22. P. 1–8.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11. Brockman G., Cheung V., Pettersson L., Schneider J., Schulman J., Tang J., Zaremba W. OpenAI Gym // arXiv:1606.01540. 2016.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12. ГОСТ Р 7.0.100-2018. Библиографическая запись. Библиографическое описание. Общие требования и правила составления. М.: Стандартинформ, 2018.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13. Известия Петербургского государственного университета путей сообщения. Требования к оформлению научных статей (раздел для авторов). URL: https://izvestiapgups.org/authors.html (дата обращения: 13.02.2026).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14. Известия Петербургского государственного университета путей сообщения. Шаблон оформления статьи Oformlenie_stati_2026.docx. URL: https://izvestiapgups.org/assets/files/Oformlenie_stati_2026.docx (дата обращения: 13.02.2026).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15. IEEE Editorial Style Manual. URL: https://journals.ieeeauthorcenter.ieee.org/your-role-in-article-production/ieee-editorial-style-manual/ (дата обращения: 13.02.2026).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Дата поступления: (заполняется редакцией).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Решение о публикации: (заполняется редакцией).</w:t>
      </w:r>
    </w:p>
    <w:p>
      <w:pPr>
        <w:spacing w:before="120" w:after="0" w:line="240" w:lineRule="auto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Контактная информация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МАРИКИН Андрей Николаевич — д-р техн. наук, профессор, marikin.an@pgups.ru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ЖЕМЧУГОВ Владимир Геннадьевич — канд. техн. наук, доцент, zhemchugov.vg@pgups.ru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ОНОФРИЙЧУК Андрей Дмитриевич — аспирант, onofriychuk.ad@pgups.ru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Model-Free Self-Learning MIC AI (FOC+PPO) Algorithm for Energy-Efficient Control of Induction Motors Across Multiple Frame Sizes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A. N. Marikin¹, V. G. Zhemchugov¹, A. D. Onofriychuk¹</w:t>
      </w:r>
    </w:p>
    <w:p>
      <w:pPr>
        <w:spacing w:before="0" w:after="120" w:line="240" w:lineRule="auto"/>
        <w:jc w:val="left"/>
      </w:pPr>
      <w:r>
        <w:rPr>
          <w:rFonts w:ascii="Times New Roman" w:hAnsi="Times New Roman" w:eastAsia="Times New Roman"/>
          <w:b w:val="0"/>
          <w:i w:val="0"/>
          <w:sz w:val="20"/>
        </w:rPr>
        <w:t>¹ Emperor Alexander I Petersburg State Transport University, 9 Moskovsky pr., Saint Petersburg, 190031, Russian Federation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For citation: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sz w:val="24"/>
        </w:rPr>
        <w:t>Marikin A. N., Zhemchugov V. G., Onofriychuk A. D. Model-Free Self-Learning MIC AI (FOC+PPO) Algorithm for Energy-Efficient Control of Induction Motors Across Multiple Frame Sizes. Proceedings of Petersburg Transport University. Saint Petersburg: PGUPS, 2026. Vol. xx, Iss. xx. pp. xx–xx. DOI: (assigned by publisher). (In Russian)</w:t>
      </w:r>
    </w:p>
    <w:p>
      <w:pPr>
        <w:spacing w:before="80" w:after="0" w:line="240" w:lineRule="auto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Summary</w:t>
      </w:r>
    </w:p>
    <w:p>
      <w:pPr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Objective: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sz w:val="24"/>
        </w:rPr>
        <w:t>to develop and validate a model-free MIC AI supervisory layer that reduces induction-drive input power without using motor parameters in the decision loop.</w:t>
      </w:r>
    </w:p>
    <w:p>
      <w:pPr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Methods: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an inner field-oriented control loop (FOC) ensures stable speed/current regulation, while MIC AI (PPO) adjusts the magnetizing-current reference </w:t>
      </w:r>
      <m:oMath xmlns:mml="http://www.w3.org/1998/Math/MathML">
        <m:sSub>
          <m:e>
            <m:r>
              <m:t>i</m:t>
            </m:r>
          </m:e>
          <m:sub>
            <m:r>
              <m:t>d,ref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under explicit constraints and a speed-error gate. Training is performed in a digital twin with randomized operation scenarios.</w:t>
      </w:r>
    </w:p>
    <w:p>
      <w:pPr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Results: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across three motors (0.25, 0.6 and 3.0 kW), mean input-power saving is 1.80% over the full interval and 1.31% in the steady window, with maximum speed-error MAE ratio </w:t>
      </w:r>
      <m:oMath xmlns:mml="http://www.w3.org/1998/Math/MathML">
        <m:sSub>
          <m:e>
            <m:r>
              <m:t>ρ</m:t>
            </m:r>
          </m:e>
          <m:sub>
            <m:r>
              <m:t>MAE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not exceeding 1.023. Nonnegative saving is achieved in 11 out of 15 motor–scenario combinations.</w:t>
      </w:r>
    </w:p>
    <w:p>
      <w:pPr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Practical importance: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sz w:val="24"/>
        </w:rPr>
        <w:t>MIC AI can be deployed as an add-on over existing industrial FOC loops and distilled into an LUT representation for MCU implementation.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Keywords: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</w:t>
      </w:r>
      <w:r>
        <w:rPr>
          <w:rFonts w:ascii="Times New Roman" w:hAnsi="Times New Roman" w:eastAsia="Times New Roman"/>
          <w:b w:val="0"/>
          <w:i w:val="0"/>
          <w:sz w:val="24"/>
        </w:rPr>
        <w:t>induction motor; field-oriented control; energy efficiency; flux optimization; reinforcement learning; PPO; digital twin; model-free control.</w:t>
      </w:r>
    </w:p>
    <w:p>
      <w:pPr>
        <w:spacing w:before="120" w:after="60" w:line="240" w:lineRule="auto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References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 Blaschke F. The principle of field orientation as applied to the new transvector closed-loop control system for rotating-field machines // Siemens Review. 1972. Vol. 39. No. 5. P. 217–220.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 Leonhard W. Control of Electrical Drives. 3rd ed. Berlin: Springer, 2001. 460 p.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 Vas P. Sensorless Vector and Direct Torque Control. Oxford: Oxford University Press, 1998. 729 p.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4. Krause P. C., Wasynczuk O., Sudhoff S. D., Pekarek S. Analysis of Electric Machinery and Drive Systems. 3rd ed. Hoboken: Wiley-IEEE Press, 2013. 680 p.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5. Boldea I., Nasar S. A. Electric Drives. 3rd ed. Boca Raton: CRC Press, 2010. 544 p.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6. Klyuchev V. I. Teoriya elektroprivoda [Theory of Electric Drive]. 2nd ed. Moscow: Energoatomizdat, 2001. 704 p. (In Russian).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7. Sandler A. S., Sarbatov R. S. Avtomaticheskoe upravlenie elektroprivodami [Automatic Control of Electric Drives]. Moscow: Energiya, 1974. 560 p. (In Russian).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8. Schulman J., Wolski F., Dhariwal P., Radford A., Klimov O. Proximal Policy Optimization Algorithms // arXiv:1707.06347. 2017.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9. Sutton R. S., Barto A. G. Reinforcement Learning: An Introduction. 2nd ed. Cambridge, MA: MIT Press, 2018. 552 p.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10. Raffin A., Hill A., Gleave A., Kanervisto A., Ernestus M., Dormann N. Stable-Baselines3: Reliable Reinforcement Learning Implementations // Journal of Machine Learning Research. 2021. Vol. 22. P. 1–8.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11. Brockman G., Cheung V., Pettersson L., Schneider J., Schulman J., Tang J., Zaremba W. OpenAI Gym // arXiv:1606.01540. 2016.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12. GOST R 7.0.100-2018. Bibliographic record. Bibliographic description. General requirements and rules of compilation. Moscow: Standartinform, 2018. (In Russian).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13. Proceedings of Petersburg Transport University (Izvestiya PGUPS). Requirements for manuscript preparation (for authors). URL: https://izvestiapgups.org/authors.html (accessed: 13.02.2026). (In Russian).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14. Proceedings of Petersburg Transport University (Izvestiya PGUPS). Article template Oformlenie_stati_2026.docx. URL: https://izvestiapgups.org/assets/files/Oformlenie_stati_2026.docx (accessed: 13.02.2026). (In Russian).</w:t>
      </w:r>
    </w:p>
    <w:p>
      <w:pPr>
        <w:spacing w:before="0" w:after="0" w:line="240" w:lineRule="auto"/>
        <w:ind w:left="425" w:hanging="425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15. IEEE Editorial Style Manual. URL: https://journals.ieeeauthorcenter.ieee.org/your-role-in-article-production/ieee-editorial-style-manual/ (accessed: 13.02.2026).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Received: (filled by publisher).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Accepted: (filled by publisher).</w:t>
      </w:r>
    </w:p>
    <w:p>
      <w:pPr>
        <w:spacing w:before="80" w:after="0" w:line="240" w:lineRule="auto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Author’s information</w:t>
      </w:r>
    </w:p>
    <w:p>
      <w:pPr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Andrey N. Marikin — Doctor of Engineering Sciences, Professor, marikin.an@pgups.ru</w:t>
      </w:r>
    </w:p>
    <w:p>
      <w:pPr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Vladimir G. Zhemchugov — PhD in Engineering, Associate Professor, zhemchugov.vg@pgups.ru</w:t>
      </w:r>
    </w:p>
    <w:p>
      <w:pPr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Andrey D. Onofriychuk — Postgraduate student, onofriychuk.ad@pgups.ru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