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5176A1" w14:textId="77777777" w:rsidR="00041A37" w:rsidRPr="00C90046" w:rsidRDefault="002D08D3">
      <w:pPr>
        <w:autoSpaceDE w:val="0"/>
        <w:autoSpaceDN w:val="0"/>
        <w:spacing w:after="0" w:line="312" w:lineRule="exact"/>
        <w:rPr>
          <w:lang w:val="ru-RU"/>
        </w:rPr>
      </w:pPr>
      <w:r w:rsidRPr="00C90046">
        <w:rPr>
          <w:rFonts w:ascii="TimesNewRomanPSMT" w:eastAsia="TimesNewRomanPSMT" w:hAnsi="TimesNewRomanPSMT"/>
          <w:color w:val="000000"/>
          <w:sz w:val="28"/>
          <w:lang w:val="ru-RU"/>
        </w:rPr>
        <w:t xml:space="preserve">УДК 681.518:621.313.333 </w:t>
      </w:r>
    </w:p>
    <w:p w14:paraId="4240B3FD" w14:textId="0FFF73A5" w:rsidR="00041A37" w:rsidRPr="00C90046" w:rsidRDefault="005212E9">
      <w:pPr>
        <w:autoSpaceDE w:val="0"/>
        <w:autoSpaceDN w:val="0"/>
        <w:spacing w:before="332" w:after="0" w:line="245" w:lineRule="auto"/>
        <w:ind w:left="144" w:right="144"/>
        <w:jc w:val="center"/>
        <w:rPr>
          <w:lang w:val="ru-RU"/>
        </w:rPr>
      </w:pPr>
      <w:r w:rsidRPr="00C90046">
        <w:rPr>
          <w:rFonts w:ascii="Times New Roman" w:eastAsia="Times New Roman" w:hAnsi="Times New Roman"/>
          <w:b/>
          <w:color w:val="000000"/>
          <w:sz w:val="28"/>
          <w:lang w:val="ru-RU"/>
        </w:rPr>
        <w:t xml:space="preserve">ИССЛЕДОВАНИЕ </w:t>
      </w:r>
      <w:r w:rsidR="00AC4701">
        <w:rPr>
          <w:rFonts w:ascii="Times New Roman" w:eastAsia="Times New Roman" w:hAnsi="Times New Roman"/>
          <w:b/>
          <w:color w:val="000000"/>
          <w:sz w:val="28"/>
          <w:lang w:val="ru-RU"/>
        </w:rPr>
        <w:t xml:space="preserve">ОСОБЕННОСТЕЙ </w:t>
      </w:r>
      <w:r w:rsidRPr="00C90046">
        <w:rPr>
          <w:rFonts w:ascii="Times New Roman" w:eastAsia="Times New Roman" w:hAnsi="Times New Roman"/>
          <w:b/>
          <w:color w:val="000000"/>
          <w:sz w:val="28"/>
          <w:lang w:val="ru-RU"/>
        </w:rPr>
        <w:t xml:space="preserve">НЕЙРОУПРАВЛЕНИЯ АСИНХРОННЫМ ДВИГАТЕЛЕМ С ОБУЧЕНИЕМ В </w:t>
      </w:r>
      <w:r w:rsidR="00D3485A">
        <w:rPr>
          <w:rFonts w:ascii="Times New Roman" w:eastAsia="Times New Roman" w:hAnsi="Times New Roman"/>
          <w:b/>
          <w:color w:val="000000"/>
          <w:sz w:val="28"/>
          <w:lang w:val="ru-RU"/>
        </w:rPr>
        <w:t>ЦИФРОВОМ ДВОЙНИКЕ</w:t>
      </w:r>
    </w:p>
    <w:p w14:paraId="4745BEE9" w14:textId="41CA7BE2" w:rsidR="00041A37" w:rsidRPr="00C90046" w:rsidRDefault="002D08D3">
      <w:pPr>
        <w:autoSpaceDE w:val="0"/>
        <w:autoSpaceDN w:val="0"/>
        <w:spacing w:before="324" w:after="0" w:line="238" w:lineRule="auto"/>
        <w:rPr>
          <w:lang w:val="ru-RU"/>
        </w:rPr>
      </w:pPr>
      <w:r w:rsidRPr="00C90046">
        <w:rPr>
          <w:rFonts w:ascii="Times New Roman" w:eastAsia="Times New Roman" w:hAnsi="Times New Roman"/>
          <w:b/>
          <w:color w:val="000000"/>
          <w:sz w:val="24"/>
          <w:lang w:val="ru-RU"/>
        </w:rPr>
        <w:t xml:space="preserve">А. Н. Марикин, </w:t>
      </w:r>
      <w:r w:rsidR="00D60FE2">
        <w:rPr>
          <w:rFonts w:ascii="Times New Roman" w:eastAsia="Times New Roman" w:hAnsi="Times New Roman"/>
          <w:b/>
          <w:color w:val="000000"/>
          <w:sz w:val="24"/>
          <w:lang w:val="ru-RU"/>
        </w:rPr>
        <w:t xml:space="preserve">А.М. Евстафьев, </w:t>
      </w:r>
      <w:r w:rsidRPr="00C90046">
        <w:rPr>
          <w:rFonts w:ascii="Times New Roman" w:eastAsia="Times New Roman" w:hAnsi="Times New Roman"/>
          <w:b/>
          <w:color w:val="000000"/>
          <w:sz w:val="24"/>
          <w:lang w:val="ru-RU"/>
        </w:rPr>
        <w:t>В. Г. Жемчугов, А. Д. Онофрийчук</w:t>
      </w:r>
    </w:p>
    <w:p w14:paraId="59B9CDDB" w14:textId="77777777" w:rsidR="00041A37" w:rsidRPr="00C90046" w:rsidRDefault="002D08D3">
      <w:pPr>
        <w:autoSpaceDE w:val="0"/>
        <w:autoSpaceDN w:val="0"/>
        <w:spacing w:before="324" w:after="0" w:line="206" w:lineRule="exact"/>
        <w:ind w:right="144"/>
        <w:rPr>
          <w:lang w:val="ru-RU"/>
        </w:rPr>
      </w:pPr>
      <w:r w:rsidRPr="00C90046">
        <w:rPr>
          <w:rFonts w:ascii="TimesNewRomanPSMT" w:eastAsia="TimesNewRomanPSMT" w:hAnsi="TimesNewRomanPSMT"/>
          <w:color w:val="000000"/>
          <w:sz w:val="18"/>
          <w:lang w:val="ru-RU"/>
        </w:rPr>
        <w:t xml:space="preserve">Петербургский государственный университет путей сообщения Императора Александра </w:t>
      </w:r>
      <w:r>
        <w:rPr>
          <w:rFonts w:ascii="TimesNewRomanPSMT" w:eastAsia="TimesNewRomanPSMT" w:hAnsi="TimesNewRomanPSMT"/>
          <w:color w:val="000000"/>
          <w:sz w:val="18"/>
        </w:rPr>
        <w:t>I</w:t>
      </w:r>
      <w:r w:rsidRPr="00C90046">
        <w:rPr>
          <w:rFonts w:ascii="TimesNewRomanPSMT" w:eastAsia="TimesNewRomanPSMT" w:hAnsi="TimesNewRomanPSMT"/>
          <w:color w:val="000000"/>
          <w:sz w:val="18"/>
          <w:lang w:val="ru-RU"/>
        </w:rPr>
        <w:t xml:space="preserve">, Российская Федерация, 190031, Санкт-Петербург, Московский пр., 9 </w:t>
      </w:r>
    </w:p>
    <w:p w14:paraId="481B22E6" w14:textId="56043757" w:rsidR="00041A37" w:rsidRPr="00C90046" w:rsidRDefault="002D08D3">
      <w:pPr>
        <w:autoSpaceDE w:val="0"/>
        <w:autoSpaceDN w:val="0"/>
        <w:spacing w:before="206" w:after="0" w:line="276" w:lineRule="exact"/>
        <w:ind w:right="28"/>
        <w:jc w:val="both"/>
        <w:rPr>
          <w:lang w:val="ru-RU"/>
        </w:rPr>
      </w:pPr>
      <w:r w:rsidRPr="00C90046">
        <w:rPr>
          <w:rFonts w:ascii="Times New Roman" w:eastAsia="Times New Roman" w:hAnsi="Times New Roman"/>
          <w:b/>
          <w:color w:val="000000"/>
          <w:sz w:val="24"/>
          <w:lang w:val="ru-RU"/>
        </w:rPr>
        <w:t xml:space="preserve">Для цитирования: </w:t>
      </w:r>
      <w:r w:rsidRPr="00C90046">
        <w:rPr>
          <w:rFonts w:ascii="Times New Roman" w:eastAsia="Times New Roman" w:hAnsi="Times New Roman"/>
          <w:i/>
          <w:color w:val="000000"/>
          <w:sz w:val="24"/>
          <w:lang w:val="ru-RU"/>
        </w:rPr>
        <w:t xml:space="preserve">Марикин А.Н., </w:t>
      </w:r>
      <w:r w:rsidR="00AC4701" w:rsidRPr="00AC4701">
        <w:rPr>
          <w:rFonts w:ascii="Times New Roman" w:eastAsia="Times New Roman" w:hAnsi="Times New Roman"/>
          <w:i/>
          <w:color w:val="000000"/>
          <w:sz w:val="24"/>
          <w:lang w:val="ru-RU"/>
        </w:rPr>
        <w:t>Евстафьев</w:t>
      </w:r>
      <w:r w:rsidR="00AC4701" w:rsidRPr="00C90046">
        <w:rPr>
          <w:rFonts w:ascii="Times New Roman" w:eastAsia="Times New Roman" w:hAnsi="Times New Roman"/>
          <w:i/>
          <w:color w:val="000000"/>
          <w:sz w:val="24"/>
          <w:lang w:val="ru-RU"/>
        </w:rPr>
        <w:t xml:space="preserve"> </w:t>
      </w:r>
      <w:r w:rsidR="00AC4701">
        <w:rPr>
          <w:rFonts w:ascii="Times New Roman" w:eastAsia="Times New Roman" w:hAnsi="Times New Roman"/>
          <w:i/>
          <w:color w:val="000000"/>
          <w:sz w:val="24"/>
          <w:lang w:val="ru-RU"/>
        </w:rPr>
        <w:t xml:space="preserve">А.М., </w:t>
      </w:r>
      <w:r w:rsidRPr="00C90046">
        <w:rPr>
          <w:rFonts w:ascii="Times New Roman" w:eastAsia="Times New Roman" w:hAnsi="Times New Roman"/>
          <w:i/>
          <w:color w:val="000000"/>
          <w:sz w:val="24"/>
          <w:lang w:val="ru-RU"/>
        </w:rPr>
        <w:t>Жемчугов В.Г., Онофрийчук А.Д.</w:t>
      </w:r>
      <w:r w:rsidRPr="00C90046">
        <w:rPr>
          <w:rFonts w:ascii="TimesNewRomanPSMT" w:eastAsia="TimesNewRomanPSMT" w:hAnsi="TimesNewRomanPSMT"/>
          <w:color w:val="000000"/>
          <w:sz w:val="24"/>
          <w:lang w:val="ru-RU"/>
        </w:rPr>
        <w:t xml:space="preserve"> Исследование </w:t>
      </w:r>
      <w:r w:rsidR="00AC4701">
        <w:rPr>
          <w:rFonts w:ascii="TimesNewRomanPSMT" w:eastAsia="TimesNewRomanPSMT" w:hAnsi="TimesNewRomanPSMT"/>
          <w:color w:val="000000"/>
          <w:sz w:val="24"/>
          <w:lang w:val="ru-RU"/>
        </w:rPr>
        <w:t xml:space="preserve">особенностей </w:t>
      </w:r>
      <w:r w:rsidRPr="00C90046">
        <w:rPr>
          <w:rFonts w:ascii="TimesNewRomanPSMT" w:eastAsia="TimesNewRomanPSMT" w:hAnsi="TimesNewRomanPSMT"/>
          <w:color w:val="000000"/>
          <w:sz w:val="24"/>
          <w:lang w:val="ru-RU"/>
        </w:rPr>
        <w:t xml:space="preserve">нейроуправления асинхронным двигателем с обучением в цифровом двойнике // Известия Петербургского государственного университета путей сообщения. СПб.: ПГУПС, 2026. – Т. 16, вып. 1. – С. 25–34. </w:t>
      </w:r>
      <w:r>
        <w:rPr>
          <w:rFonts w:ascii="TimesNewRomanPSMT" w:eastAsia="TimesNewRomanPSMT" w:hAnsi="TimesNewRomanPSMT"/>
          <w:color w:val="000000"/>
          <w:sz w:val="24"/>
        </w:rPr>
        <w:t>DOI</w:t>
      </w:r>
      <w:r w:rsidRPr="00C90046">
        <w:rPr>
          <w:rFonts w:ascii="TimesNewRomanPSMT" w:eastAsia="TimesNewRomanPSMT" w:hAnsi="TimesNewRomanPSMT"/>
          <w:color w:val="000000"/>
          <w:sz w:val="24"/>
          <w:lang w:val="ru-RU"/>
        </w:rPr>
        <w:t xml:space="preserve">: </w:t>
      </w:r>
    </w:p>
    <w:p w14:paraId="5416B150" w14:textId="77777777" w:rsidR="00041A37" w:rsidRPr="00C90046" w:rsidRDefault="002D08D3">
      <w:pPr>
        <w:autoSpaceDE w:val="0"/>
        <w:autoSpaceDN w:val="0"/>
        <w:spacing w:before="286" w:after="0" w:line="230" w:lineRule="auto"/>
        <w:rPr>
          <w:lang w:val="ru-RU"/>
        </w:rPr>
      </w:pPr>
      <w:r w:rsidRPr="00C90046">
        <w:rPr>
          <w:rFonts w:ascii="Times New Roman" w:eastAsia="Times New Roman" w:hAnsi="Times New Roman"/>
          <w:b/>
          <w:color w:val="000000"/>
          <w:sz w:val="24"/>
          <w:lang w:val="ru-RU"/>
        </w:rPr>
        <w:t xml:space="preserve">Аннотация. </w:t>
      </w:r>
    </w:p>
    <w:p w14:paraId="059D2927" w14:textId="1EE6E520" w:rsidR="00A715F8" w:rsidRDefault="004879C1">
      <w:pPr>
        <w:autoSpaceDE w:val="0"/>
        <w:autoSpaceDN w:val="0"/>
        <w:spacing w:after="0" w:line="276" w:lineRule="exact"/>
        <w:ind w:right="32"/>
        <w:jc w:val="both"/>
        <w:rPr>
          <w:lang w:val="ru-RU"/>
        </w:rPr>
      </w:pPr>
      <w:r>
        <w:rPr>
          <w:rFonts w:ascii="Times New Roman" w:eastAsia="Times New Roman" w:hAnsi="Times New Roman"/>
          <w:b/>
          <w:sz w:val="24"/>
          <w:lang w:val="ru-RU"/>
        </w:rPr>
        <w:t xml:space="preserve">Цель: Оценить возможность прямого нейросетевого управления асинхронным электроприводом без полной предварительной идентификации конкретного двигателя и сопоставить MIC с FOC </w:t>
      </w:r>
      <w:r>
        <w:rPr>
          <w:rFonts w:ascii="Times New Roman" w:eastAsia="Times New Roman" w:hAnsi="Times New Roman"/>
          <w:b/>
          <w:sz w:val="24"/>
          <w:highlight w:val="red"/>
          <w:lang w:val="ru-RU"/>
        </w:rPr>
        <w:t>при постоянном задании скорости и изменении момента нагрузки.</w:t>
      </w:r>
    </w:p>
    <w:p w14:paraId="79405D89" w14:textId="77777777" w:rsidR="00A715F8" w:rsidRDefault="004879C1">
      <w:pPr>
        <w:autoSpaceDE w:val="0"/>
        <w:autoSpaceDN w:val="0"/>
        <w:spacing w:after="0" w:line="276" w:lineRule="exact"/>
        <w:ind w:right="32"/>
        <w:jc w:val="both"/>
        <w:rPr>
          <w:lang w:val="ru-RU"/>
        </w:rPr>
      </w:pPr>
      <w:r>
        <w:rPr>
          <w:rFonts w:ascii="Times New Roman" w:eastAsia="Times New Roman" w:hAnsi="Times New Roman"/>
          <w:b/>
          <w:color w:val="000000"/>
          <w:sz w:val="24"/>
          <w:lang w:val="ru-RU"/>
        </w:rPr>
        <w:t>Методы:</w:t>
      </w:r>
      <w:r>
        <w:rPr>
          <w:rFonts w:ascii="TimesNewRomanPSMT" w:eastAsia="TimesNewRomanPSMT" w:hAnsi="TimesNewRomanPSMT"/>
          <w:color w:val="000000"/>
          <w:sz w:val="24"/>
          <w:lang w:val="ru-RU"/>
        </w:rPr>
        <w:t xml:space="preserve"> Исследование выполнено на модели системы «инвертор - асинхронный двигатель - регулятор» в среде цифрового двойника. RL-агент обучали формировать управляющие воздействия в d-q координатах, после чего результаты сопоставляли с FOC по среднеквадратичному току статора, активной мощности и ошибке регулирования скорости.</w:t>
      </w:r>
    </w:p>
    <w:p w14:paraId="7FFCCC54" w14:textId="77777777" w:rsidR="007C276D" w:rsidRDefault="004879C1" w:rsidP="007C276D">
      <w:pPr>
        <w:autoSpaceDE w:val="0"/>
        <w:autoSpaceDN w:val="0"/>
        <w:spacing w:after="0" w:line="276" w:lineRule="exact"/>
        <w:ind w:right="32"/>
        <w:jc w:val="both"/>
        <w:rPr>
          <w:lang w:val="ru-RU"/>
        </w:rPr>
      </w:pPr>
      <w:r>
        <w:rPr>
          <w:rFonts w:ascii="Times New Roman" w:eastAsia="Times New Roman" w:hAnsi="Times New Roman"/>
          <w:b/>
          <w:sz w:val="24"/>
          <w:lang w:val="ru-RU"/>
        </w:rPr>
        <w:t xml:space="preserve">Практическая значимость: Политику предполагается адаптировать к конкретному двигателю </w:t>
      </w:r>
      <w:r>
        <w:rPr>
          <w:rFonts w:ascii="Times New Roman" w:eastAsia="Times New Roman" w:hAnsi="Times New Roman"/>
          <w:b/>
          <w:sz w:val="24"/>
          <w:highlight w:val="red"/>
          <w:lang w:val="ru-RU"/>
        </w:rPr>
        <w:t>по короткому окну измерений</w:t>
      </w:r>
      <w:r>
        <w:rPr>
          <w:rFonts w:ascii="Times New Roman" w:eastAsia="Times New Roman" w:hAnsi="Times New Roman"/>
          <w:b/>
          <w:sz w:val="24"/>
          <w:lang w:val="ru-RU"/>
        </w:rPr>
        <w:t xml:space="preserve"> и переносить на встроенную платформу, сокращая объём предварительной параметрической идентификации.</w:t>
      </w:r>
    </w:p>
    <w:p w14:paraId="088E5562" w14:textId="614DC7F4" w:rsidR="00041A37" w:rsidRPr="00C90046" w:rsidRDefault="002D08D3" w:rsidP="007C276D">
      <w:pPr>
        <w:autoSpaceDE w:val="0"/>
        <w:autoSpaceDN w:val="0"/>
        <w:spacing w:after="0" w:line="276" w:lineRule="exact"/>
        <w:ind w:right="32"/>
        <w:jc w:val="both"/>
        <w:rPr>
          <w:lang w:val="ru-RU"/>
        </w:rPr>
      </w:pPr>
      <w:r w:rsidRPr="00C90046">
        <w:rPr>
          <w:rFonts w:ascii="Times New Roman" w:eastAsia="Times New Roman" w:hAnsi="Times New Roman"/>
          <w:b/>
          <w:color w:val="000000"/>
          <w:sz w:val="24"/>
          <w:lang w:val="ru-RU"/>
        </w:rPr>
        <w:t xml:space="preserve">Ключевые слова: </w:t>
      </w:r>
      <w:r w:rsidRPr="00C90046">
        <w:rPr>
          <w:rFonts w:ascii="TimesNewRomanPSMT" w:eastAsia="TimesNewRomanPSMT" w:hAnsi="TimesNewRomanPSMT"/>
          <w:color w:val="000000"/>
          <w:sz w:val="24"/>
          <w:lang w:val="ru-RU"/>
        </w:rPr>
        <w:t xml:space="preserve">асинхронный электродвигатель; электропривод; обучение с подкреплением; цифровой двойник; нейросетевое управление; векторное управление. </w:t>
      </w:r>
    </w:p>
    <w:p w14:paraId="576E52FD" w14:textId="77777777" w:rsidR="00A715F8" w:rsidRDefault="004879C1">
      <w:pPr>
        <w:autoSpaceDE w:val="0"/>
        <w:autoSpaceDN w:val="0"/>
        <w:spacing w:before="278" w:after="0"/>
        <w:ind w:right="20"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eastAsia="TimesNewRomanPSMT" w:hAnsi="Times New Roman" w:cs="Times New Roman"/>
          <w:color w:val="000000"/>
          <w:sz w:val="28"/>
          <w:lang w:val="ru-RU"/>
        </w:rPr>
        <w:t>Для асинхронного электропривода сохраняет актуальность задача одновременного обеспечения точного регулирования скорости, приемлемых динамических свойств и умеренного энергопотребления. На практике она, как правило, решается средствами векторного управления. Однако качество настройки FOC в заметной степени зависит от параметров двигателя и условий его работы, поэтому при их изменении требуется дополнительная корректировка регуляторов [1, 2].</w:t>
      </w:r>
    </w:p>
    <w:p w14:paraId="3E728B34" w14:textId="77777777" w:rsidR="00A715F8" w:rsidRDefault="004879C1">
      <w:pPr>
        <w:autoSpaceDE w:val="0"/>
        <w:autoSpaceDN w:val="0"/>
        <w:spacing w:after="0"/>
        <w:ind w:right="20"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eastAsia="TimesNewRomanPSMT" w:hAnsi="Times New Roman" w:cs="Times New Roman"/>
          <w:color w:val="000000"/>
          <w:sz w:val="28"/>
          <w:lang w:val="ru-RU"/>
        </w:rPr>
        <w:t xml:space="preserve">В связи с этим представляет интерес схема, в которой закон управления не задаётся заранее структурой регуляторов, а формируется в процессе обучения агента при взаимодействии с моделью привода. В такой постановке методы обучения с подкреплением позволяют искать </w:t>
      </w:r>
      <w:r>
        <w:rPr>
          <w:rFonts w:ascii="Times New Roman" w:eastAsia="TimesNewRomanPSMT" w:hAnsi="Times New Roman" w:cs="Times New Roman"/>
          <w:color w:val="000000"/>
          <w:sz w:val="28"/>
          <w:lang w:val="ru-RU"/>
        </w:rPr>
        <w:lastRenderedPageBreak/>
        <w:t>управляющие воздействия по критерию, одновременно учитывающему ошибку регулирования и энергетические показатели [3, 4].</w:t>
      </w:r>
    </w:p>
    <w:p w14:paraId="4B5314D2" w14:textId="77777777" w:rsidR="00A715F8" w:rsidRDefault="004879C1">
      <w:pPr>
        <w:autoSpaceDE w:val="0"/>
        <w:autoSpaceDN w:val="0"/>
        <w:spacing w:after="0"/>
        <w:ind w:right="20"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Научная новизна состоит в прямом формировании RL-агентом воздействий в d-q координатах без токового каскада PI-регуляторов. </w:t>
      </w:r>
      <w:r>
        <w:rPr>
          <w:rFonts w:ascii="Times New Roman" w:eastAsia="Times New Roman" w:hAnsi="Times New Roman" w:cs="Times New Roman"/>
          <w:sz w:val="28"/>
          <w:highlight w:val="red"/>
          <w:lang w:val="ru-RU"/>
        </w:rPr>
        <w:t>Политика обучается на семействе цифровых моделей и адаптируется по короткому окну измерений</w:t>
      </w:r>
      <w:r>
        <w:rPr>
          <w:rFonts w:ascii="Times New Roman" w:eastAsia="Times New Roman" w:hAnsi="Times New Roman" w:cs="Times New Roman"/>
          <w:sz w:val="28"/>
          <w:lang w:val="ru-RU"/>
        </w:rPr>
        <w:t>, поэтому рабочий контур не требует полной идентификации конкретного двигателя.</w:t>
      </w:r>
    </w:p>
    <w:p w14:paraId="4D528857" w14:textId="77777777" w:rsidR="001F12A5" w:rsidRPr="00A95655" w:rsidRDefault="002D08D3" w:rsidP="00A95655">
      <w:pPr>
        <w:autoSpaceDE w:val="0"/>
        <w:autoSpaceDN w:val="0"/>
        <w:spacing w:after="0"/>
        <w:ind w:right="20" w:firstLine="709"/>
        <w:jc w:val="both"/>
        <w:rPr>
          <w:rFonts w:ascii="Times New Roman" w:eastAsia="TimesNewRomanPSMT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highlight w:val="red"/>
          <w:lang w:val="ru-RU"/>
        </w:rPr>
        <w:t>В отличие от DeepMPC, использующего обучаемую модель в предиктивном контуре [6], MIC непосредственно формирует воздействия на инвертор. Агент обучается методом проб и ошибок по функции вознаграждения [4], что сокращает ручную настройку.</w:t>
      </w:r>
    </w:p>
    <w:p w14:paraId="72455974" w14:textId="3C5DA6A8" w:rsidR="00A715F8" w:rsidRDefault="004879C1">
      <w:pPr>
        <w:autoSpaceDE w:val="0"/>
        <w:autoSpaceDN w:val="0"/>
        <w:spacing w:after="0"/>
        <w:ind w:right="20" w:firstLine="709"/>
        <w:jc w:val="both"/>
        <w:rPr>
          <w:rFonts w:ascii="Times New Roman" w:eastAsia="TimesNewRomanPSMT" w:hAnsi="Times New Roman" w:cs="Times New Roman"/>
          <w:color w:val="000000"/>
          <w:sz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Цель работы состо</w:t>
      </w:r>
      <w:r w:rsidR="00B26AF5">
        <w:rPr>
          <w:rFonts w:ascii="Times New Roman" w:hAnsi="Times New Roman" w:cs="Times New Roman"/>
          <w:color w:val="000000"/>
          <w:sz w:val="28"/>
          <w:szCs w:val="28"/>
          <w:lang w:val="ru-RU"/>
        </w:rPr>
        <w:t>ит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в оценке </w:t>
      </w:r>
      <w:r w:rsidR="00B26AF5">
        <w:rPr>
          <w:rFonts w:ascii="Times New Roman" w:hAnsi="Times New Roman" w:cs="Times New Roman"/>
          <w:color w:val="000000"/>
          <w:sz w:val="28"/>
          <w:szCs w:val="28"/>
          <w:lang w:val="ru-RU"/>
        </w:rPr>
        <w:t>возможности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обеспеч</w:t>
      </w:r>
      <w:r w:rsidR="00B26AF5">
        <w:rPr>
          <w:rFonts w:ascii="Times New Roman" w:hAnsi="Times New Roman" w:cs="Times New Roman"/>
          <w:color w:val="000000"/>
          <w:sz w:val="28"/>
          <w:szCs w:val="28"/>
          <w:lang w:val="ru-RU"/>
        </w:rPr>
        <w:t>ения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прямо</w:t>
      </w:r>
      <w:r w:rsidR="00B26AF5">
        <w:rPr>
          <w:rFonts w:ascii="Times New Roman" w:hAnsi="Times New Roman" w:cs="Times New Roman"/>
          <w:color w:val="000000"/>
          <w:sz w:val="28"/>
          <w:szCs w:val="28"/>
          <w:lang w:val="ru-RU"/>
        </w:rPr>
        <w:t>го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нейросетево</w:t>
      </w:r>
      <w:r w:rsidR="00B26AF5">
        <w:rPr>
          <w:rFonts w:ascii="Times New Roman" w:hAnsi="Times New Roman" w:cs="Times New Roman"/>
          <w:color w:val="000000"/>
          <w:sz w:val="28"/>
          <w:szCs w:val="28"/>
          <w:lang w:val="ru-RU"/>
        </w:rPr>
        <w:t>го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управлени</w:t>
      </w:r>
      <w:r w:rsidR="00B26AF5">
        <w:rPr>
          <w:rFonts w:ascii="Times New Roman" w:hAnsi="Times New Roman" w:cs="Times New Roman"/>
          <w:color w:val="000000"/>
          <w:sz w:val="28"/>
          <w:szCs w:val="28"/>
          <w:lang w:val="ru-RU"/>
        </w:rPr>
        <w:t>я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асинхронным электроприводом </w:t>
      </w:r>
      <w:r w:rsidR="00B26AF5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для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снижени</w:t>
      </w:r>
      <w:r w:rsidR="00B26AF5">
        <w:rPr>
          <w:rFonts w:ascii="Times New Roman" w:hAnsi="Times New Roman" w:cs="Times New Roman"/>
          <w:color w:val="000000"/>
          <w:sz w:val="28"/>
          <w:szCs w:val="28"/>
          <w:lang w:val="ru-RU"/>
        </w:rPr>
        <w:t>я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потребления активной мощности по сравнению с FOC без заметного ухудшения качества регулирования скорости. Для этого RL-агент обучали в среде цифрового двойника, после чего анализировали устойчивость сформированной стратегии в типовых режимах и сопоставляли полученные результаты с базовым вариантом векторного управления. Такая постановка позволяет судить о практической применимости метода ещё до перехода к физическому стенду.</w:t>
      </w:r>
    </w:p>
    <w:p w14:paraId="6985ADE6" w14:textId="536EF921" w:rsidR="00C74024" w:rsidRPr="00E93E6B" w:rsidRDefault="00A63C67" w:rsidP="00A95655">
      <w:pPr>
        <w:autoSpaceDE w:val="0"/>
        <w:autoSpaceDN w:val="0"/>
        <w:spacing w:after="0"/>
        <w:ind w:right="2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1 показан переход MIC (Motor Intelligent Control) от разработки к эксплуатации. Этап 1 (модельный): MIC обучается в среде математической модели АД на наборе режимов и разбросе параметров. Цель этапа – получить устойчивую стартовую политику и отладить процедуру обучения без риска для оборудования, обеспечив переносимость на разные двигатели. Этап 2 (перенос на стенд): MIC переносится на реальный привод (АИН–АД) и выполняется ускоренная адаптация под конкретный двигатель с использованием БЭК (бесконтактного энкодера) как источника обратной связи и средства контроля качества. Цель этапа – быстро подстроить политику к реальным нелинейностям, потерям, насыщению и задержкам, минимизируя число экспериментов. Этап 3 (эксплуатация без БЭК): обучение отключается, энкодер выводится из контура, и MIC управляет АИН без обратной связи по скорости, используя выученный закон управления </w:t>
      </w:r>
      <w:r>
        <w:rPr>
          <w:rFonts w:ascii="Times New Roman" w:hAnsi="Times New Roman" w:cs="Times New Roman"/>
          <w:sz w:val="28"/>
          <w:szCs w:val="28"/>
          <w:highlight w:val="red"/>
          <w:lang w:val="ru-RU"/>
        </w:rPr>
        <w:t>[5]</w:t>
      </w:r>
      <w:r>
        <w:rPr>
          <w:rFonts w:ascii="Times New Roman" w:hAnsi="Times New Roman" w:cs="Times New Roman"/>
          <w:sz w:val="28"/>
          <w:szCs w:val="28"/>
          <w:lang w:val="ru-RU"/>
        </w:rPr>
        <w:t>. Цель этапа – обеспечить работу привода без датчика скорости и снизить требования к измерительной части при сохранении заданного качества управления. В отличие от классической иерархии (скорость – ток – напряжение), здесь нейросеть решает задачу оптимального управления за один шаг.</w:t>
      </w:r>
    </w:p>
    <w:p w14:paraId="486D4D03" w14:textId="77777777" w:rsidR="008253AB" w:rsidRPr="00A95655" w:rsidRDefault="008253AB" w:rsidP="00A95655">
      <w:pPr>
        <w:autoSpaceDE w:val="0"/>
        <w:autoSpaceDN w:val="0"/>
        <w:spacing w:after="0"/>
        <w:ind w:right="2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303A9E" w14:textId="6B1AABDA" w:rsidR="00C74024" w:rsidRPr="00A95655" w:rsidRDefault="003D20E7" w:rsidP="007C276D">
      <w:pPr>
        <w:autoSpaceDE w:val="0"/>
        <w:autoSpaceDN w:val="0"/>
        <w:spacing w:after="0"/>
        <w:jc w:val="center"/>
        <w:rPr>
          <w:rFonts w:ascii="Times New Roman" w:hAnsi="Times New Roman" w:cs="Times New Roman"/>
        </w:rPr>
      </w:pPr>
      <w:r>
        <w:object w:dxaOrig="14888" w:dyaOrig="10615" w14:anchorId="111C8C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6.1pt;height:182.75pt" o:ole="">
            <v:imagedata r:id="rId8" o:title=""/>
          </v:shape>
          <o:OLEObject Type="Embed" ProgID="Visio.Drawing.11" ShapeID="_x0000_i1025" DrawAspect="Content" ObjectID="_1849329938" r:id="rId9"/>
        </w:object>
      </w:r>
    </w:p>
    <w:p w14:paraId="694580A9" w14:textId="77777777" w:rsidR="00C503FF" w:rsidRPr="00A95655" w:rsidRDefault="00C74024" w:rsidP="00754220">
      <w:pPr>
        <w:autoSpaceDE w:val="0"/>
        <w:autoSpaceDN w:val="0"/>
        <w:spacing w:before="338" w:after="0"/>
        <w:ind w:right="576" w:firstLine="52"/>
        <w:jc w:val="center"/>
        <w:rPr>
          <w:rFonts w:ascii="Times New Roman" w:eastAsia="TimesNewRomanPSMT" w:hAnsi="Times New Roman" w:cs="Times New Roman"/>
          <w:color w:val="000000"/>
          <w:sz w:val="28"/>
          <w:lang w:val="ru-RU"/>
        </w:rPr>
      </w:pPr>
      <w:r>
        <w:rPr>
          <w:rFonts w:ascii="Times New Roman" w:eastAsia="TimesNewRomanPSMT" w:hAnsi="Times New Roman" w:cs="Times New Roman"/>
          <w:color w:val="000000"/>
          <w:sz w:val="28"/>
          <w:lang w:val="ru-RU"/>
        </w:rPr>
        <w:t>Рисунок 1 – Схема обучения алгоритма MIC</w:t>
      </w:r>
    </w:p>
    <w:p w14:paraId="2A65B541" w14:textId="77777777" w:rsidR="00A715F8" w:rsidRDefault="004879C1">
      <w:pPr>
        <w:tabs>
          <w:tab w:val="left" w:pos="1916"/>
        </w:tabs>
        <w:autoSpaceDE w:val="0"/>
        <w:autoSpaceDN w:val="0"/>
        <w:spacing w:before="338" w:after="0"/>
        <w:ind w:right="-24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Прямое обучение на реальном стенде на начальном этапе работы представляется нецелесообразным, поскольку большое число пробных воздействий повышает вероятность аварийных режимов и существенно увеличивает время отладки. Поэтому агент обучался на цифровом двойнике асинхронного двигателя. В этой среде многократно воспроизводились разгон, торможение и установившиеся режимы без риска для оборудования. Функция вознаграждения задавалась по двум основным признакам: ошибке по скорости и уровню потребляемой мощности. Тем самым агент настраивался не только на достижение требуемой скорости, но и на выбор более экономичного режима работы. Использование цифрового двойника позволило рассмотреть большое число эпизодов и получить стратегию, в которой динамические и энергетические требования учитываются одновременно.</w:t>
      </w:r>
    </w:p>
    <w:p w14:paraId="1AE73AA2" w14:textId="0CDF918E" w:rsidR="00A715F8" w:rsidRDefault="004879C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Цифровой двойник использовался не только как безопасная среда обучения, но и как инструмент оценки чувствительности алгоритма к изменению параметров привода. В модели варьировали нагрузку, момент инерции и параметры двигателя, после чего проверяли, сохраняется ли работоспособность обученной политики. При переносе алгоритма с модели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на физический объект необходимо учитывать эффект sim-to-real, то есть возможное расхождение между поведением цифрового двойника и реального привода. Для уменьшения этого расхождения целесообразно вводить случайный разброс параметров уже на этапе обучения. В таком случае агент взаимодействует не с единственным вариантом модели, а с семейством близких режимов, что обычно повышает устойчивость его поведения при переходе к реальному объекту [8</w:t>
      </w:r>
      <w:r w:rsidR="007B45F8">
        <w:rPr>
          <w:rFonts w:ascii="Times New Roman" w:hAnsi="Times New Roman" w:cs="Times New Roman"/>
          <w:color w:val="000000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10].</w:t>
      </w:r>
    </w:p>
    <w:p w14:paraId="33C11F49" w14:textId="77777777" w:rsidR="00087F70" w:rsidRPr="00A95655" w:rsidRDefault="00C74024" w:rsidP="00A9565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5655">
        <w:rPr>
          <w:rFonts w:ascii="Times New Roman" w:hAnsi="Times New Roman" w:cs="Times New Roman"/>
          <w:sz w:val="28"/>
          <w:szCs w:val="28"/>
          <w:lang w:val="ru-RU"/>
        </w:rPr>
        <w:t xml:space="preserve">Для обучения агента использовались современные алгоритмы глубокого </w:t>
      </w:r>
      <w:r w:rsidRPr="004049C9">
        <w:rPr>
          <w:rFonts w:ascii="Times New Roman" w:hAnsi="Times New Roman" w:cs="Times New Roman"/>
          <w:sz w:val="28"/>
          <w:szCs w:val="28"/>
          <w:highlight w:val="yellow"/>
        </w:rPr>
        <w:t>RL</w:t>
      </w:r>
      <w:r w:rsidRPr="00A95655">
        <w:rPr>
          <w:rFonts w:ascii="Times New Roman" w:hAnsi="Times New Roman" w:cs="Times New Roman"/>
          <w:sz w:val="28"/>
          <w:szCs w:val="28"/>
          <w:lang w:val="ru-RU"/>
        </w:rPr>
        <w:t xml:space="preserve">, предназначенные для задач с непрерывным пространством действий. В частности, применялся метод </w:t>
      </w:r>
      <w:r w:rsidRPr="00A95655">
        <w:rPr>
          <w:rFonts w:ascii="Times New Roman" w:hAnsi="Times New Roman" w:cs="Times New Roman"/>
          <w:sz w:val="28"/>
          <w:szCs w:val="28"/>
        </w:rPr>
        <w:t>Twin</w:t>
      </w:r>
      <w:r w:rsidRPr="00A956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5655">
        <w:rPr>
          <w:rFonts w:ascii="Times New Roman" w:hAnsi="Times New Roman" w:cs="Times New Roman"/>
          <w:sz w:val="28"/>
          <w:szCs w:val="28"/>
        </w:rPr>
        <w:t>Delayed</w:t>
      </w:r>
      <w:r w:rsidRPr="00A956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5655">
        <w:rPr>
          <w:rFonts w:ascii="Times New Roman" w:hAnsi="Times New Roman" w:cs="Times New Roman"/>
          <w:sz w:val="28"/>
          <w:szCs w:val="28"/>
        </w:rPr>
        <w:t>DDPG</w:t>
      </w:r>
      <w:r w:rsidRPr="00A9565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A95655">
        <w:rPr>
          <w:rFonts w:ascii="Times New Roman" w:hAnsi="Times New Roman" w:cs="Times New Roman"/>
          <w:sz w:val="28"/>
          <w:szCs w:val="28"/>
        </w:rPr>
        <w:t>TD</w:t>
      </w:r>
      <w:r w:rsidRPr="00A95655">
        <w:rPr>
          <w:rFonts w:ascii="Times New Roman" w:hAnsi="Times New Roman" w:cs="Times New Roman"/>
          <w:sz w:val="28"/>
          <w:szCs w:val="28"/>
          <w:lang w:val="ru-RU"/>
        </w:rPr>
        <w:t xml:space="preserve">3) и сравнительно – </w:t>
      </w:r>
      <w:r w:rsidRPr="00A95655">
        <w:rPr>
          <w:rFonts w:ascii="Times New Roman" w:hAnsi="Times New Roman" w:cs="Times New Roman"/>
          <w:sz w:val="28"/>
          <w:szCs w:val="28"/>
        </w:rPr>
        <w:t>Proximal</w:t>
      </w:r>
      <w:r w:rsidRPr="00A956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5655">
        <w:rPr>
          <w:rFonts w:ascii="Times New Roman" w:hAnsi="Times New Roman" w:cs="Times New Roman"/>
          <w:sz w:val="28"/>
          <w:szCs w:val="28"/>
        </w:rPr>
        <w:t>Policy</w:t>
      </w:r>
      <w:r w:rsidRPr="00A956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5655">
        <w:rPr>
          <w:rFonts w:ascii="Times New Roman" w:hAnsi="Times New Roman" w:cs="Times New Roman"/>
          <w:sz w:val="28"/>
          <w:szCs w:val="28"/>
        </w:rPr>
        <w:t>Optimization</w:t>
      </w:r>
      <w:r w:rsidRPr="00A9565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A95655">
        <w:rPr>
          <w:rFonts w:ascii="Times New Roman" w:hAnsi="Times New Roman" w:cs="Times New Roman"/>
          <w:sz w:val="28"/>
          <w:szCs w:val="28"/>
        </w:rPr>
        <w:t>PPO</w:t>
      </w:r>
      <w:r w:rsidRPr="00A95655">
        <w:rPr>
          <w:rFonts w:ascii="Times New Roman" w:hAnsi="Times New Roman" w:cs="Times New Roman"/>
          <w:sz w:val="28"/>
          <w:szCs w:val="28"/>
          <w:lang w:val="ru-RU"/>
        </w:rPr>
        <w:t xml:space="preserve">). Эти алгоритмы на каждом шаге симуляции обновляют параметры нейросети агента, стремясь увеличить суммарное дисконтированное вознаграждение за эпизод. Обучение проводилось </w:t>
      </w:r>
      <w:r w:rsidRPr="00A95655">
        <w:rPr>
          <w:rFonts w:ascii="Times New Roman" w:hAnsi="Times New Roman" w:cs="Times New Roman"/>
          <w:sz w:val="28"/>
          <w:szCs w:val="28"/>
        </w:rPr>
        <w:t>online</w:t>
      </w:r>
      <w:r w:rsidRPr="00A95655">
        <w:rPr>
          <w:rFonts w:ascii="Times New Roman" w:hAnsi="Times New Roman" w:cs="Times New Roman"/>
          <w:sz w:val="28"/>
          <w:szCs w:val="28"/>
          <w:lang w:val="ru-RU"/>
        </w:rPr>
        <w:t xml:space="preserve"> – агент взаимодействовал с цифровым двойником в ходе множества эпизодов, постепенно улучшая стратег</w:t>
      </w:r>
      <w:r w:rsidR="00087F70" w:rsidRPr="00A9565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50A4C">
        <w:rPr>
          <w:rFonts w:ascii="Times New Roman" w:hAnsi="Times New Roman" w:cs="Times New Roman"/>
          <w:sz w:val="28"/>
          <w:szCs w:val="28"/>
          <w:lang w:val="ru-RU"/>
        </w:rPr>
        <w:t>и.</w:t>
      </w:r>
    </w:p>
    <w:p w14:paraId="12DA0379" w14:textId="77777777" w:rsidR="00087F70" w:rsidRPr="00A95655" w:rsidRDefault="00087F70" w:rsidP="00A9565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5655">
        <w:rPr>
          <w:rFonts w:ascii="Times New Roman" w:hAnsi="Times New Roman" w:cs="Times New Roman"/>
          <w:sz w:val="28"/>
          <w:szCs w:val="28"/>
          <w:lang w:val="ru-RU"/>
        </w:rPr>
        <w:t xml:space="preserve">Эпизоды моделировали стандартные рабочие циклы привода: разгон до требуемой скорости, удержание нагрузки, торможение. По мере накопления опыта агент уменьшал ошибку слежения за скоростью и энергопотребление, приближаясь к оптимальной политике по заданному критерию. </w:t>
      </w:r>
    </w:p>
    <w:p w14:paraId="50C3E52A" w14:textId="77777777" w:rsidR="00A715F8" w:rsidRDefault="004879C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После завершения обучения полученную политику необходимо согласовать с вычислительными ограничениями встроенной платформы. Исходная модель агента, обученная в симуляции, содержит слишком большое число параметров для устойчивого выполнения в реальном времени на микроконтроллере. Поэтому на следующем этапе использовалась дистилляция: компактную сеть обучали воспроизводить действия исходного агента на тех же входных состояниях </w:t>
      </w:r>
      <w:r>
        <w:rPr>
          <w:rFonts w:ascii="Times New Roman" w:hAnsi="Times New Roman" w:cs="Times New Roman"/>
          <w:color w:val="000000"/>
          <w:sz w:val="28"/>
          <w:szCs w:val="28"/>
          <w:highlight w:val="red"/>
          <w:lang w:val="ru-RU"/>
        </w:rPr>
        <w:t>[7]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. Такой приём позволяет уменьшить размер модели без существенной потери качества управления. В итоге формируется облегчённая политика, пригодная для исполнения на встроенном устройстве и сохраняющая основные особенности поведения исходного агента.</w:t>
      </w:r>
    </w:p>
    <w:p w14:paraId="063B5C8B" w14:textId="4E18AB3A" w:rsidR="00087F70" w:rsidRPr="00A95655" w:rsidRDefault="00087F70" w:rsidP="00A9565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5655">
        <w:rPr>
          <w:rFonts w:ascii="Times New Roman" w:hAnsi="Times New Roman" w:cs="Times New Roman"/>
          <w:sz w:val="28"/>
          <w:szCs w:val="28"/>
          <w:lang w:val="ru-RU"/>
        </w:rPr>
        <w:t xml:space="preserve">Обучение проводится офлайн на более мощном вычислителе, но итоговая инференс-модель приводится к форме, пригодной для микроконтроллера. Такой подход обеспечивает автономность системы </w:t>
      </w:r>
      <w:r w:rsidR="009C021D" w:rsidRPr="00A95655">
        <w:rPr>
          <w:rFonts w:ascii="Times New Roman" w:hAnsi="Times New Roman" w:cs="Times New Roman"/>
          <w:sz w:val="28"/>
          <w:szCs w:val="28"/>
        </w:rPr>
        <w:t>MIC</w:t>
      </w:r>
      <w:r w:rsidRPr="00A95655">
        <w:rPr>
          <w:rFonts w:ascii="Times New Roman" w:hAnsi="Times New Roman" w:cs="Times New Roman"/>
          <w:sz w:val="28"/>
          <w:szCs w:val="28"/>
          <w:lang w:val="ru-RU"/>
        </w:rPr>
        <w:t xml:space="preserve">: после этапа лабораторного обучения «интеллектуальный» контроллер можно загрузить во встроенный блок управления привода и эксплуатировать подобно обычному частотному преобразователю, без постоянного подключения к внешнему компьютеру. </w:t>
      </w:r>
    </w:p>
    <w:p w14:paraId="2E5A03A2" w14:textId="77777777" w:rsidR="00087F70" w:rsidRPr="00A95655" w:rsidRDefault="00087F70" w:rsidP="00A9565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В MIC RL-агент по измеряемым скорости и токам формирует воздействия на инвертор. </w:t>
      </w:r>
      <w:r>
        <w:rPr>
          <w:rFonts w:ascii="Times New Roman" w:hAnsi="Times New Roman" w:cs="Times New Roman" w:eastAsia="Times New Roman"/>
          <w:sz w:val="28"/>
          <w:szCs w:val="28"/>
          <w:highlight w:val="red"/>
          <w:lang w:val="ru-RU"/>
        </w:rPr>
        <w:t>Цифровой двойник используется при обучении, а короткое окно измерений — при адаптации к конкретному приводу.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 После сжатия политика исполняется на встроенной платформе внутри независимых ограничений по току, напряжению, температуре и состояниям силовых ключей.</w:t>
      </w:r>
    </w:p>
    <w:p w14:paraId="0ED76388" w14:textId="77777777" w:rsidR="003F08E7" w:rsidRPr="00A95655" w:rsidRDefault="003F08E7" w:rsidP="00A9565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highlight w:val="red"/>
          <w:lang w:val="ru-RU"/>
        </w:rPr>
        <w:t>Сравнение MIC и FOC выполнено при неизменном задании скорости и двух значениях момента нагрузки: 0,5Mном (стадия 0) и 1,0Mном (стадия 1). Оценивались ток статора, активная мощность и ошибка скорости.</w:t>
      </w:r>
    </w:p>
    <w:p w14:paraId="781201D7" w14:textId="77777777" w:rsidR="00A715F8" w:rsidRDefault="004879C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color w:val="000000"/>
          <w:sz w:val="28"/>
          <w:lang w:val="ru-RU"/>
        </w:rPr>
        <w:t xml:space="preserve">Энергетический эффект применения MIC оценивали по временной зависимости активной мощности и сопоставляли с результатами, полученными для FOC. В переходном процессе различие между кривыми оставалось небольшим, однако после выхода в установившийся режим зависимость для MIC располагалась ниже, чем для FOC. На выбранном интервале усреднения снижение активной мощности составило 8,4 %. Этот </w:t>
      </w:r>
      <w:r>
        <w:rPr>
          <w:rFonts w:ascii="Times New Roman" w:eastAsia="TimesNewRomanPSMT" w:hAnsi="Times New Roman" w:cs="Times New Roman"/>
          <w:color w:val="000000"/>
          <w:sz w:val="28"/>
          <w:lang w:val="ru-RU"/>
        </w:rPr>
        <w:lastRenderedPageBreak/>
        <w:t>результат согласуется с уменьшением среднеквадратичного тока статора и показывает, что выигрыш по энергии достигается не за счёт ухудшения регулирования скорости, а вследствие более экономичного режима работы привода в установившемся состоянии.</w:t>
      </w:r>
    </w:p>
    <w:p w14:paraId="65DD801A" w14:textId="44F71FBB" w:rsidR="003F08E7" w:rsidRDefault="00754220" w:rsidP="00C872CB">
      <w:pPr>
        <w:autoSpaceDE w:val="0"/>
        <w:autoSpaceDN w:val="0"/>
        <w:spacing w:before="358" w:after="0"/>
        <w:jc w:val="center"/>
        <w:rPr>
          <w:rFonts w:ascii="Times New Roman" w:hAnsi="Times New Roman" w:cs="Times New Roman"/>
        </w:rPr>
      </w:pPr>
      <w:r w:rsidRPr="00754220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545FC828" wp14:editId="55BEC85C">
            <wp:extent cx="5806599" cy="2668417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7239" cy="266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1B34" w14:textId="77777777" w:rsidR="00754220" w:rsidRPr="00A95655" w:rsidRDefault="00754220" w:rsidP="00C872CB">
      <w:pPr>
        <w:autoSpaceDE w:val="0"/>
        <w:autoSpaceDN w:val="0"/>
        <w:spacing w:before="358" w:after="0"/>
        <w:jc w:val="center"/>
        <w:rPr>
          <w:rFonts w:ascii="Times New Roman" w:hAnsi="Times New Roman" w:cs="Times New Roman"/>
        </w:rPr>
      </w:pPr>
    </w:p>
    <w:p w14:paraId="71240BD7" w14:textId="7C0E7E16" w:rsidR="00C83C19" w:rsidRPr="00BF3E36" w:rsidRDefault="003F08E7" w:rsidP="00754220">
      <w:pPr>
        <w:autoSpaceDE w:val="0"/>
        <w:autoSpaceDN w:val="0"/>
        <w:spacing w:after="0"/>
        <w:ind w:hanging="41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eastAsia="TimesNewRomanPSMT" w:hAnsi="Times New Roman" w:cs="Times New Roman"/>
          <w:sz w:val="28"/>
          <w:highlight w:val="red"/>
          <w:lang w:val="ru-RU"/>
        </w:rPr>
        <w:t>Рисунок 2 – Сравнение потребляемой электрической мощности при постоянном задании скорости и ступенчатом изменении момента нагрузки</w:t>
      </w:r>
    </w:p>
    <w:p w14:paraId="56E5A795" w14:textId="77777777" w:rsidR="00A011C0" w:rsidRDefault="00D3485A" w:rsidP="00DB344B">
      <w:pPr>
        <w:autoSpaceDE w:val="0"/>
        <w:autoSpaceDN w:val="0"/>
        <w:spacing w:before="366" w:after="0"/>
        <w:ind w:left="50" w:firstLine="67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DB344B">
        <w:rPr>
          <w:rFonts w:ascii="Times New Roman" w:hAnsi="Times New Roman" w:cs="Times New Roman"/>
          <w:sz w:val="28"/>
          <w:szCs w:val="28"/>
          <w:lang w:val="ru-RU"/>
        </w:rPr>
        <w:t>а рисунке 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B344B" w:rsidRPr="00DB344B">
        <w:rPr>
          <w:rFonts w:ascii="Times New Roman" w:hAnsi="Times New Roman" w:cs="Times New Roman"/>
          <w:sz w:val="28"/>
          <w:szCs w:val="28"/>
          <w:lang w:val="ru-RU"/>
        </w:rPr>
        <w:t>представлены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рабочие характеристики привода АИР-56</w:t>
      </w:r>
      <w:r w:rsidR="00DB344B" w:rsidRPr="00DB34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управлении </w:t>
      </w:r>
      <w:r>
        <w:rPr>
          <w:rFonts w:ascii="Times New Roman" w:hAnsi="Times New Roman" w:cs="Times New Roman"/>
          <w:sz w:val="28"/>
          <w:szCs w:val="28"/>
        </w:rPr>
        <w:t>FOC</w:t>
      </w:r>
      <w:r w:rsidRPr="00D348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MIC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5AF045" w14:textId="701C053C" w:rsidR="00A011C0" w:rsidRDefault="00754220" w:rsidP="00A011C0">
      <w:pPr>
        <w:autoSpaceDE w:val="0"/>
        <w:autoSpaceDN w:val="0"/>
        <w:spacing w:before="366" w:after="0"/>
        <w:ind w:left="50" w:hanging="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5422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E01BA9D" wp14:editId="00C5336E">
            <wp:extent cx="5745480" cy="2921106"/>
            <wp:effectExtent l="0" t="0" r="7620" b="3175"/>
            <wp:docPr id="6" name="Рисунок 6" descr="Рабочие характеристики асинхронного двигателя АИР-56 при FOC и M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6B8C" w14:textId="77777777" w:rsidR="00A011C0" w:rsidRPr="00DB344B" w:rsidRDefault="00A011C0" w:rsidP="00A011C0">
      <w:pPr>
        <w:tabs>
          <w:tab w:val="left" w:pos="1148"/>
        </w:tabs>
        <w:autoSpaceDE w:val="0"/>
        <w:autoSpaceDN w:val="0"/>
        <w:spacing w:before="346" w:after="0"/>
        <w:ind w:left="34" w:right="288" w:firstLine="709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eastAsia="TimesNewRomanPSMT" w:hAnsi="Times New Roman" w:cs="Times New Roman"/>
          <w:sz w:val="28"/>
          <w:highlight w:val="red"/>
          <w:lang w:val="ru-RU"/>
        </w:rPr>
        <w:t>Рисунок 3 – Рабочие характеристики при одинаковом задании скорости и изменении момента нагрузки</w:t>
      </w:r>
    </w:p>
    <w:p w14:paraId="1692A782" w14:textId="4281F1C1" w:rsidR="003F08E7" w:rsidRPr="007C276D" w:rsidRDefault="00D3485A" w:rsidP="007C276D">
      <w:pPr>
        <w:autoSpaceDE w:val="0"/>
        <w:autoSpaceDN w:val="0"/>
        <w:spacing w:before="366" w:after="0"/>
        <w:ind w:left="50" w:firstLine="67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highlight w:val="red"/>
          <w:lang w:val="ru-RU"/>
        </w:rPr>
        <w:t>На рисунке 3 стадии 0 и 1 соответствуют нагрузкам 0,5Mном и 1,0Mном при одинаковом задании скорости. В первом режиме стратегии практически совпадают. Во втором MIC повышает скорость и выходную мощность на 10,4 %, но также ток на 7,6 %, входную мощность на 13,3 % и снижает КПД на 2,0 процентного пункта. Поэтому безусловный энергетический выигрыш не подтверждён.</w:t>
      </w:r>
    </w:p>
    <w:p w14:paraId="1330DD01" w14:textId="77777777" w:rsidR="00A715F8" w:rsidRDefault="004879C1">
      <w:pPr>
        <w:tabs>
          <w:tab w:val="left" w:pos="714"/>
        </w:tabs>
        <w:autoSpaceDE w:val="0"/>
        <w:autoSpaceDN w:val="0"/>
        <w:spacing w:before="344" w:after="0"/>
        <w:ind w:left="14" w:firstLine="709"/>
        <w:jc w:val="both"/>
        <w:rPr>
          <w:rFonts w:ascii="Times New Roman" w:eastAsia="TimesNewRomanPSMT" w:hAnsi="Times New Roman" w:cs="Times New Roman"/>
          <w:color w:val="000000"/>
          <w:sz w:val="28"/>
          <w:lang w:val="ru-RU"/>
        </w:rPr>
      </w:pPr>
      <w:r>
        <w:rPr>
          <w:rFonts w:ascii="Times New Roman" w:eastAsia="TimesNewRomanPSMT" w:hAnsi="Times New Roman" w:cs="Times New Roman"/>
          <w:color w:val="000000"/>
          <w:sz w:val="28"/>
          <w:lang w:val="ru-RU"/>
        </w:rPr>
        <w:t>По результатам моделирования могут быть сформулированы следующие выводы.</w:t>
      </w:r>
    </w:p>
    <w:p w14:paraId="549B1A5F" w14:textId="77777777" w:rsidR="00A715F8" w:rsidRDefault="004879C1">
      <w:pPr>
        <w:tabs>
          <w:tab w:val="left" w:pos="714"/>
        </w:tabs>
        <w:autoSpaceDE w:val="0"/>
        <w:autoSpaceDN w:val="0"/>
        <w:spacing w:after="0"/>
        <w:ind w:left="14" w:firstLine="709"/>
        <w:jc w:val="both"/>
        <w:rPr>
          <w:rFonts w:ascii="Times New Roman" w:eastAsia="TimesNewRomanPSMT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highlight w:val="red"/>
          <w:lang w:val="ru-RU"/>
        </w:rPr>
        <w:t>1. MIC формирует воздействия в d-q координатах; цифровой двойник используется только при обучении.</w:t>
      </w:r>
    </w:p>
    <w:p w14:paraId="5D4F9264" w14:textId="77777777" w:rsidR="00A715F8" w:rsidRDefault="004879C1">
      <w:pPr>
        <w:tabs>
          <w:tab w:val="left" w:pos="714"/>
        </w:tabs>
        <w:autoSpaceDE w:val="0"/>
        <w:autoSpaceDN w:val="0"/>
        <w:spacing w:after="0"/>
        <w:ind w:left="14" w:firstLine="709"/>
        <w:jc w:val="both"/>
        <w:rPr>
          <w:rFonts w:ascii="Times New Roman" w:eastAsia="TimesNewRomanPSMT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highlight w:val="red"/>
          <w:lang w:val="ru-RU"/>
        </w:rPr>
        <w:t>2. При 0,5Mном различий почти нет; при 1,0Mном ток MIC выше на 7,6 %, поэтому его снижение не подтверждено.</w:t>
      </w:r>
    </w:p>
    <w:p w14:paraId="50AFE509" w14:textId="77777777" w:rsidR="00A715F8" w:rsidRDefault="004879C1">
      <w:pPr>
        <w:tabs>
          <w:tab w:val="left" w:pos="714"/>
        </w:tabs>
        <w:autoSpaceDE w:val="0"/>
        <w:autoSpaceDN w:val="0"/>
        <w:spacing w:after="0"/>
        <w:ind w:left="14" w:firstLine="709"/>
        <w:jc w:val="both"/>
        <w:rPr>
          <w:rFonts w:ascii="Times New Roman" w:eastAsia="TimesNewRomanPSMT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highlight w:val="red"/>
          <w:lang w:val="ru-RU"/>
        </w:rPr>
        <w:t>3. Снижение мощности на 8,4 % относится только к интервалу рисунка 2 и не доказывает общую экономию.</w:t>
      </w:r>
    </w:p>
    <w:p w14:paraId="06F27AE4" w14:textId="77777777" w:rsidR="00A715F8" w:rsidRDefault="004879C1">
      <w:pPr>
        <w:tabs>
          <w:tab w:val="left" w:pos="714"/>
        </w:tabs>
        <w:autoSpaceDE w:val="0"/>
        <w:autoSpaceDN w:val="0"/>
        <w:spacing w:after="0"/>
        <w:ind w:left="14" w:firstLine="709"/>
        <w:jc w:val="both"/>
        <w:rPr>
          <w:rFonts w:ascii="Times New Roman" w:eastAsia="TimesNewRomanPSMT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highlight w:val="red"/>
          <w:lang w:val="ru-RU"/>
        </w:rPr>
        <w:t>4. Энергетический эффект требует одинаковых скорости, момента и выходной мощности, а также повторных опытов.</w:t>
      </w:r>
    </w:p>
    <w:p w14:paraId="1F613088" w14:textId="77777777" w:rsidR="00A715F8" w:rsidRDefault="004879C1">
      <w:pPr>
        <w:tabs>
          <w:tab w:val="left" w:pos="714"/>
        </w:tabs>
        <w:autoSpaceDE w:val="0"/>
        <w:autoSpaceDN w:val="0"/>
        <w:spacing w:after="0"/>
        <w:ind w:left="14" w:firstLine="709"/>
        <w:jc w:val="both"/>
        <w:rPr>
          <w:rFonts w:ascii="Times New Roman" w:eastAsia="TimesNewRomanPSMT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highlight w:val="red"/>
          <w:lang w:val="ru-RU"/>
        </w:rPr>
        <w:t>5. Подход работоспособен и готов к стендовой адаптации с независимой защитой.</w:t>
      </w:r>
    </w:p>
    <w:p w14:paraId="14D24DCA" w14:textId="77777777" w:rsidR="001D49F6" w:rsidRDefault="001D49F6" w:rsidP="00C82CA0">
      <w:pPr>
        <w:autoSpaceDE w:val="0"/>
        <w:autoSpaceDN w:val="0"/>
        <w:spacing w:after="0" w:line="360" w:lineRule="auto"/>
        <w:jc w:val="center"/>
        <w:rPr>
          <w:rFonts w:ascii="TimesNewRomanPSMT" w:eastAsia="TimesNewRomanPSMT" w:hAnsi="TimesNewRomanPSMT"/>
          <w:color w:val="000000"/>
          <w:sz w:val="24"/>
          <w:lang w:val="ru-RU"/>
        </w:rPr>
      </w:pPr>
    </w:p>
    <w:p w14:paraId="62FF0DBB" w14:textId="77777777" w:rsidR="001D49F6" w:rsidRPr="009D773A" w:rsidRDefault="001D49F6" w:rsidP="001D49F6">
      <w:pPr>
        <w:autoSpaceDE w:val="0"/>
        <w:autoSpaceDN w:val="0"/>
        <w:spacing w:after="0" w:line="233" w:lineRule="auto"/>
        <w:ind w:left="14"/>
      </w:pPr>
      <w:r w:rsidRPr="000B2FE3">
        <w:rPr>
          <w:rFonts w:ascii="Times New Roman" w:eastAsia="Times New Roman" w:hAnsi="Times New Roman"/>
          <w:b/>
          <w:i/>
          <w:color w:val="000000"/>
          <w:sz w:val="28"/>
          <w:lang w:val="ru-RU"/>
        </w:rPr>
        <w:t>Библиографический</w:t>
      </w:r>
      <w:r w:rsidRPr="009D773A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r w:rsidRPr="000B2FE3">
        <w:rPr>
          <w:rFonts w:ascii="Times New Roman" w:eastAsia="Times New Roman" w:hAnsi="Times New Roman"/>
          <w:b/>
          <w:i/>
          <w:color w:val="000000"/>
          <w:sz w:val="28"/>
          <w:lang w:val="ru-RU"/>
        </w:rPr>
        <w:t>список</w:t>
      </w:r>
      <w:r w:rsidRPr="009D773A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</w:p>
    <w:p w14:paraId="6DBEA67B" w14:textId="77777777" w:rsidR="001D49F6" w:rsidRDefault="001D49F6" w:rsidP="00D172AE">
      <w:pPr>
        <w:tabs>
          <w:tab w:val="left" w:pos="298"/>
        </w:tabs>
        <w:autoSpaceDE w:val="0"/>
        <w:autoSpaceDN w:val="0"/>
        <w:spacing w:before="228" w:after="0" w:line="290" w:lineRule="exact"/>
        <w:ind w:left="14" w:right="144" w:firstLine="270"/>
        <w:jc w:val="both"/>
      </w:pPr>
      <w:r>
        <w:rPr>
          <w:rFonts w:ascii="TimesNewRomanPSMT" w:eastAsia="TimesNewRomanPSMT" w:hAnsi="TimesNewRomanPSMT"/>
          <w:color w:val="000000"/>
          <w:sz w:val="24"/>
        </w:rPr>
        <w:t>1. Kazemikia D. Reinforcement Learning for Motor Control: A Comprehensive Review [Электронный ресурс] // arXiv preprint. 2024. – URL: https://arxiv.org/abs/2412.17936 (дата обращения: 15.12.2025).</w:t>
      </w:r>
    </w:p>
    <w:p w14:paraId="4605BDEF" w14:textId="77777777" w:rsidR="001D49F6" w:rsidRDefault="001D49F6" w:rsidP="00D172AE">
      <w:pPr>
        <w:tabs>
          <w:tab w:val="left" w:pos="298"/>
        </w:tabs>
        <w:autoSpaceDE w:val="0"/>
        <w:autoSpaceDN w:val="0"/>
        <w:spacing w:before="12" w:after="0" w:line="284" w:lineRule="exact"/>
        <w:ind w:left="14" w:right="288" w:firstLine="270"/>
        <w:jc w:val="both"/>
      </w:pPr>
      <w:r>
        <w:rPr>
          <w:rFonts w:ascii="TimesNewRomanPSMT" w:eastAsia="TimesNewRomanPSMT" w:hAnsi="TimesNewRomanPSMT"/>
          <w:color w:val="000000"/>
          <w:sz w:val="24"/>
        </w:rPr>
        <w:t>2. Field-Oriented Control of PMSM Using Reinforcement Learning [Электронный ресурс] // MathWorks Motor Control Blockset Example. – URL: https://www.mathworks.com/help/mcb/gs/foc-of-pmsm-using-reinforcement-learning.html (дата обращения: 15.12.2025).</w:t>
      </w:r>
    </w:p>
    <w:p w14:paraId="65546066" w14:textId="77777777" w:rsidR="001D49F6" w:rsidRPr="00FE39FC" w:rsidRDefault="001D49F6" w:rsidP="00D172AE">
      <w:pPr>
        <w:tabs>
          <w:tab w:val="left" w:pos="298"/>
        </w:tabs>
        <w:autoSpaceDE w:val="0"/>
        <w:autoSpaceDN w:val="0"/>
        <w:spacing w:before="2" w:after="0" w:line="290" w:lineRule="exact"/>
        <w:ind w:left="14" w:firstLine="270"/>
        <w:jc w:val="both"/>
        <w:rPr>
          <w:lang w:val="ru-RU"/>
        </w:rPr>
      </w:pPr>
      <w:r>
        <w:rPr>
          <w:rFonts w:ascii="TimesNewRomanPSMT" w:eastAsia="TimesNewRomanPSMT" w:hAnsi="TimesNewRomanPSMT"/>
          <w:color w:val="000000"/>
          <w:sz w:val="24"/>
        </w:rPr>
        <w:t xml:space="preserve">3. Benmalek E., Rayyam M., Gege A. et al. AI-Based Field-Oriented Control for Induction Motors // IAPGOS. </w:t>
      </w:r>
      <w:r w:rsidRPr="003D20E7">
        <w:rPr>
          <w:rFonts w:ascii="TimesNewRomanPSMT" w:eastAsia="TimesNewRomanPSMT" w:hAnsi="TimesNewRomanPSMT"/>
          <w:color w:val="000000"/>
          <w:sz w:val="24"/>
          <w:lang w:val="ru-RU"/>
        </w:rPr>
        <w:t xml:space="preserve">2024. </w:t>
      </w:r>
      <w:r>
        <w:rPr>
          <w:rFonts w:ascii="TimesNewRomanPSMT" w:eastAsia="TimesNewRomanPSMT" w:hAnsi="TimesNewRomanPSMT"/>
          <w:color w:val="000000"/>
          <w:sz w:val="24"/>
        </w:rPr>
        <w:t>Vol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 xml:space="preserve">. 14, </w:t>
      </w:r>
      <w:r>
        <w:rPr>
          <w:rFonts w:ascii="TimesNewRomanPSMT" w:eastAsia="TimesNewRomanPSMT" w:hAnsi="TimesNewRomanPSMT"/>
          <w:color w:val="000000"/>
          <w:sz w:val="24"/>
        </w:rPr>
        <w:t>No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 xml:space="preserve">. 4. </w:t>
      </w:r>
      <w:r>
        <w:rPr>
          <w:rFonts w:ascii="TimesNewRomanPSMT" w:eastAsia="TimesNewRomanPSMT" w:hAnsi="TimesNewRomanPSMT"/>
          <w:color w:val="000000"/>
          <w:sz w:val="24"/>
        </w:rPr>
        <w:t>P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 xml:space="preserve">. 75–81. – </w:t>
      </w:r>
      <w:r>
        <w:rPr>
          <w:rFonts w:ascii="TimesNewRomanPSMT" w:eastAsia="TimesNewRomanPSMT" w:hAnsi="TimesNewRomanPSMT"/>
          <w:color w:val="000000"/>
          <w:sz w:val="24"/>
        </w:rPr>
        <w:t>URL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 xml:space="preserve">: </w:t>
      </w:r>
      <w:r>
        <w:rPr>
          <w:rFonts w:ascii="TimesNewRomanPSMT" w:eastAsia="TimesNewRomanPSMT" w:hAnsi="TimesNewRomanPSMT"/>
          <w:color w:val="000000"/>
          <w:sz w:val="24"/>
        </w:rPr>
        <w:t>https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>://</w:t>
      </w:r>
      <w:r>
        <w:rPr>
          <w:rFonts w:ascii="TimesNewRomanPSMT" w:eastAsia="TimesNewRomanPSMT" w:hAnsi="TimesNewRomanPSMT"/>
          <w:color w:val="000000"/>
          <w:sz w:val="24"/>
        </w:rPr>
        <w:t>doi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>.</w:t>
      </w:r>
      <w:r>
        <w:rPr>
          <w:rFonts w:ascii="TimesNewRomanPSMT" w:eastAsia="TimesNewRomanPSMT" w:hAnsi="TimesNewRomanPSMT"/>
          <w:color w:val="000000"/>
          <w:sz w:val="24"/>
        </w:rPr>
        <w:t>org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>/10.35784/</w:t>
      </w:r>
      <w:r>
        <w:rPr>
          <w:rFonts w:ascii="TimesNewRomanPSMT" w:eastAsia="TimesNewRomanPSMT" w:hAnsi="TimesNewRomanPSMT"/>
          <w:color w:val="000000"/>
          <w:sz w:val="24"/>
        </w:rPr>
        <w:t>iapgos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 xml:space="preserve">.6253 (дата обращения: 15.12.2025). </w:t>
      </w:r>
    </w:p>
    <w:p w14:paraId="71031C71" w14:textId="77777777" w:rsidR="001D49F6" w:rsidRDefault="001D49F6" w:rsidP="00D172AE">
      <w:pPr>
        <w:autoSpaceDE w:val="0"/>
        <w:autoSpaceDN w:val="0"/>
        <w:spacing w:before="6" w:after="0" w:line="286" w:lineRule="exact"/>
        <w:ind w:right="288" w:firstLine="270"/>
        <w:jc w:val="both"/>
      </w:pPr>
      <w:r>
        <w:rPr>
          <w:rFonts w:ascii="TimesNewRomanPSMT" w:eastAsia="TimesNewRomanPSMT" w:hAnsi="TimesNewRomanPSMT"/>
          <w:color w:val="000000"/>
          <w:sz w:val="24"/>
        </w:rPr>
        <w:t>4. Saurabh P., Nagabhooshanam N., Kumar D. et al. Enhanced Induction Motor Control Using Deep Reinforcement Learning and PWM with DTC // Electric Power Components and Systems. 2023. Vol. 51, № 12. P. 1083–1095. – URL: https://doi.org/10.1080/15325008.2023.2274357 (дата обращения: 15.12.2025).</w:t>
      </w:r>
    </w:p>
    <w:p w14:paraId="1F6710C4" w14:textId="77777777" w:rsidR="001D49F6" w:rsidRPr="00AC4701" w:rsidRDefault="001D49F6" w:rsidP="00D172AE">
      <w:pPr>
        <w:tabs>
          <w:tab w:val="left" w:pos="298"/>
        </w:tabs>
        <w:autoSpaceDE w:val="0"/>
        <w:autoSpaceDN w:val="0"/>
        <w:spacing w:before="8" w:after="0" w:line="284" w:lineRule="exact"/>
        <w:ind w:left="14" w:firstLine="270"/>
        <w:jc w:val="both"/>
      </w:pPr>
      <w:r>
        <w:rPr>
          <w:rFonts w:ascii="TimesNewRomanPSMT" w:eastAsia="TimesNewRomanPSMT" w:hAnsi="TimesNewRomanPSMT"/>
          <w:color w:val="000000"/>
          <w:sz w:val="24"/>
        </w:rPr>
        <w:t xml:space="preserve">5. Abdullah Q., Farah N., Ahmed M. S. et al. Sensorless Speed Control of Induction Motor Drives Using Reinforcement Learning and Self-Tuning Simplified Fuzzy Logic Controller // IEEE Access. 2024. Vol. 12. P. 136485–136501. – URL: https://doi.org/10.1109/ACCESS.2024.3435529 (дата обращения: 15.12.2025). </w:t>
      </w:r>
    </w:p>
    <w:p w14:paraId="4FFAF077" w14:textId="77777777" w:rsidR="001D49F6" w:rsidRPr="00FE39FC" w:rsidRDefault="001D49F6" w:rsidP="00D172AE">
      <w:pPr>
        <w:tabs>
          <w:tab w:val="left" w:pos="298"/>
        </w:tabs>
        <w:autoSpaceDE w:val="0"/>
        <w:autoSpaceDN w:val="0"/>
        <w:spacing w:before="10" w:after="0" w:line="286" w:lineRule="exact"/>
        <w:ind w:left="14" w:right="144" w:firstLine="270"/>
        <w:jc w:val="both"/>
        <w:rPr>
          <w:lang w:val="ru-RU"/>
        </w:rPr>
      </w:pPr>
      <w:r>
        <w:rPr>
          <w:rFonts w:ascii="TimesNewRomanPSMT" w:eastAsia="TimesNewRomanPSMT" w:hAnsi="TimesNewRomanPSMT"/>
          <w:color w:val="000000"/>
          <w:sz w:val="24"/>
        </w:rPr>
        <w:t xml:space="preserve">6. Lenz I., Knepper R., Saxena A. DeepMPC: Learning Deep Latent Features for Model Predictive Control // Proc. of Robotics: Science and Systems. 2015. – URL: https://doi.org/10.15607/RSS.2015.XI.012 (дата обращения: 15.12.2025). </w:t>
      </w:r>
    </w:p>
    <w:p w14:paraId="68E7E716" w14:textId="77777777" w:rsidR="001D49F6" w:rsidRDefault="001D49F6" w:rsidP="00D172AE">
      <w:pPr>
        <w:tabs>
          <w:tab w:val="left" w:pos="298"/>
        </w:tabs>
        <w:autoSpaceDE w:val="0"/>
        <w:autoSpaceDN w:val="0"/>
        <w:spacing w:before="8" w:after="0" w:line="288" w:lineRule="exact"/>
        <w:ind w:left="14" w:right="144" w:firstLine="270"/>
        <w:jc w:val="both"/>
      </w:pPr>
      <w:r w:rsidRPr="007C276D">
        <w:rPr>
          <w:rFonts w:ascii="TimesNewRomanPSMT" w:eastAsia="TimesNewRomanPSMT" w:hAnsi="TimesNewRomanPSMT"/>
          <w:color w:val="000000"/>
          <w:sz w:val="24"/>
          <w:lang w:val="es-ES"/>
        </w:rPr>
        <w:t xml:space="preserve">7. Xu Z., Wang J., Xu X. et al. </w:t>
      </w:r>
      <w:r>
        <w:rPr>
          <w:rFonts w:ascii="TimesNewRomanPSMT" w:eastAsia="TimesNewRomanPSMT" w:hAnsi="TimesNewRomanPSMT"/>
          <w:color w:val="000000"/>
          <w:sz w:val="24"/>
        </w:rPr>
        <w:t>A Survey of Reinforcement Learning-Driven Knowledge Distillation: Techniques, Challenges, and Applications [Электронный ресурс] // Preprints. 2025. – URL: https://doi.org/10.20944/preprints202503.0903.v2 (дата обращения: 15.12.2025).</w:t>
      </w:r>
    </w:p>
    <w:p w14:paraId="23991960" w14:textId="77777777" w:rsidR="001D49F6" w:rsidRPr="007C276D" w:rsidRDefault="001D49F6" w:rsidP="00D172AE">
      <w:pPr>
        <w:autoSpaceDE w:val="0"/>
        <w:autoSpaceDN w:val="0"/>
        <w:spacing w:before="14" w:after="0" w:line="284" w:lineRule="exact"/>
        <w:ind w:left="14" w:right="432" w:firstLine="270"/>
        <w:jc w:val="both"/>
        <w:rPr>
          <w:lang w:val="ru-RU"/>
        </w:rPr>
      </w:pPr>
      <w:r>
        <w:rPr>
          <w:rFonts w:ascii="TimesNewRomanPSMT" w:eastAsia="TimesNewRomanPSMT" w:hAnsi="TimesNewRomanPSMT"/>
          <w:color w:val="000000"/>
          <w:sz w:val="24"/>
        </w:rPr>
        <w:t xml:space="preserve">8. Eschmann J., Albani D., Loianno G. RLtools: A Fast, Portable Deep Reinforcement Learning Library for Continuous Control // Journal of Machine Learning Research. 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 xml:space="preserve">2024. </w:t>
      </w:r>
      <w:r>
        <w:rPr>
          <w:rFonts w:ascii="TimesNewRomanPSMT" w:eastAsia="TimesNewRomanPSMT" w:hAnsi="TimesNewRomanPSMT"/>
          <w:color w:val="000000"/>
          <w:sz w:val="24"/>
        </w:rPr>
        <w:t>Vol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 xml:space="preserve">. 25, № 301. </w:t>
      </w:r>
      <w:r>
        <w:rPr>
          <w:rFonts w:ascii="TimesNewRomanPSMT" w:eastAsia="TimesNewRomanPSMT" w:hAnsi="TimesNewRomanPSMT"/>
          <w:color w:val="000000"/>
          <w:sz w:val="24"/>
        </w:rPr>
        <w:t>P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 xml:space="preserve">. 1–19. – </w:t>
      </w:r>
      <w:r>
        <w:rPr>
          <w:rFonts w:ascii="TimesNewRomanPSMT" w:eastAsia="TimesNewRomanPSMT" w:hAnsi="TimesNewRomanPSMT"/>
          <w:color w:val="000000"/>
          <w:sz w:val="24"/>
        </w:rPr>
        <w:t>URL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 xml:space="preserve">: </w:t>
      </w:r>
      <w:r>
        <w:rPr>
          <w:rFonts w:ascii="TimesNewRomanPSMT" w:eastAsia="TimesNewRomanPSMT" w:hAnsi="TimesNewRomanPSMT"/>
          <w:color w:val="000000"/>
          <w:sz w:val="24"/>
        </w:rPr>
        <w:t>https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>://</w:t>
      </w:r>
      <w:r>
        <w:rPr>
          <w:rFonts w:ascii="TimesNewRomanPSMT" w:eastAsia="TimesNewRomanPSMT" w:hAnsi="TimesNewRomanPSMT"/>
          <w:color w:val="000000"/>
          <w:sz w:val="24"/>
        </w:rPr>
        <w:t>www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>.</w:t>
      </w:r>
      <w:r>
        <w:rPr>
          <w:rFonts w:ascii="TimesNewRomanPSMT" w:eastAsia="TimesNewRomanPSMT" w:hAnsi="TimesNewRomanPSMT"/>
          <w:color w:val="000000"/>
          <w:sz w:val="24"/>
        </w:rPr>
        <w:t>jmlr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>.</w:t>
      </w:r>
      <w:r>
        <w:rPr>
          <w:rFonts w:ascii="TimesNewRomanPSMT" w:eastAsia="TimesNewRomanPSMT" w:hAnsi="TimesNewRomanPSMT"/>
          <w:color w:val="000000"/>
          <w:sz w:val="24"/>
        </w:rPr>
        <w:t>org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>/</w:t>
      </w:r>
      <w:r>
        <w:rPr>
          <w:rFonts w:ascii="TimesNewRomanPSMT" w:eastAsia="TimesNewRomanPSMT" w:hAnsi="TimesNewRomanPSMT"/>
          <w:color w:val="000000"/>
          <w:sz w:val="24"/>
        </w:rPr>
        <w:t>papers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>/</w:t>
      </w:r>
      <w:r>
        <w:rPr>
          <w:rFonts w:ascii="TimesNewRomanPSMT" w:eastAsia="TimesNewRomanPSMT" w:hAnsi="TimesNewRomanPSMT"/>
          <w:color w:val="000000"/>
          <w:sz w:val="24"/>
        </w:rPr>
        <w:t>v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>25/24-0248.</w:t>
      </w:r>
      <w:r>
        <w:rPr>
          <w:rFonts w:ascii="TimesNewRomanPSMT" w:eastAsia="TimesNewRomanPSMT" w:hAnsi="TimesNewRomanPSMT"/>
          <w:color w:val="000000"/>
          <w:sz w:val="24"/>
        </w:rPr>
        <w:t>html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 xml:space="preserve"> (дата обращения: 15.12.2025).</w:t>
      </w:r>
    </w:p>
    <w:p w14:paraId="436F3E4F" w14:textId="77777777" w:rsidR="001D49F6" w:rsidRDefault="001D49F6" w:rsidP="00D172AE">
      <w:pPr>
        <w:tabs>
          <w:tab w:val="left" w:pos="298"/>
        </w:tabs>
        <w:autoSpaceDE w:val="0"/>
        <w:autoSpaceDN w:val="0"/>
        <w:spacing w:after="0" w:line="290" w:lineRule="exact"/>
        <w:ind w:left="14" w:firstLine="270"/>
        <w:jc w:val="both"/>
      </w:pPr>
      <w:r w:rsidRPr="007C276D">
        <w:rPr>
          <w:rFonts w:ascii="TimesNewRomanPSMT" w:eastAsia="TimesNewRomanPSMT" w:hAnsi="TimesNewRomanPSMT"/>
          <w:color w:val="000000"/>
          <w:sz w:val="24"/>
          <w:lang w:val="es-ES"/>
        </w:rPr>
        <w:t xml:space="preserve">9. Szydlo T., Jayaraman P. P., Li Y. et al. </w:t>
      </w:r>
      <w:r>
        <w:rPr>
          <w:rFonts w:ascii="TimesNewRomanPSMT" w:eastAsia="TimesNewRomanPSMT" w:hAnsi="TimesNewRomanPSMT"/>
          <w:color w:val="000000"/>
          <w:sz w:val="24"/>
        </w:rPr>
        <w:t xml:space="preserve">TinyRL: Towards Reinforcement Learning on Tiny Embedded Devices // Proc. of the 31st ACM Int. Conf. on Information and Knowledge Management (CIKM). 2022. P. 4985–4988. – URL: https://doi.org/10.1145/3511808.3557206 (дата обращения: 15.12.2025). </w:t>
      </w:r>
    </w:p>
    <w:p w14:paraId="1DB62CA6" w14:textId="77777777" w:rsidR="001D49F6" w:rsidRPr="00E93E6B" w:rsidRDefault="001D49F6" w:rsidP="00D172AE">
      <w:pPr>
        <w:autoSpaceDE w:val="0"/>
        <w:autoSpaceDN w:val="0"/>
        <w:spacing w:before="8" w:after="0" w:line="284" w:lineRule="exact"/>
        <w:ind w:left="14" w:right="432" w:firstLine="270"/>
        <w:jc w:val="both"/>
        <w:rPr>
          <w:lang w:val="ru-RU"/>
        </w:rPr>
      </w:pPr>
      <w:r>
        <w:rPr>
          <w:rFonts w:ascii="TimesNewRomanPSMT" w:eastAsia="TimesNewRomanPSMT" w:hAnsi="TimesNewRomanPSMT"/>
          <w:color w:val="000000"/>
          <w:sz w:val="24"/>
        </w:rPr>
        <w:t xml:space="preserve">10. Mouk Elele M. J., Pau D., Zhuang S., Facchinetti T. Enhancing Field-Oriented Control of Electric Drives with Tiny Neural Network Optimized for Micro-controllers [Электронный ресурс] // arXiv preprint. 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 xml:space="preserve">2025. – </w:t>
      </w:r>
      <w:r>
        <w:rPr>
          <w:rFonts w:ascii="TimesNewRomanPSMT" w:eastAsia="TimesNewRomanPSMT" w:hAnsi="TimesNewRomanPSMT"/>
          <w:color w:val="000000"/>
          <w:sz w:val="24"/>
        </w:rPr>
        <w:t>URL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 xml:space="preserve">: </w:t>
      </w:r>
      <w:r>
        <w:rPr>
          <w:rFonts w:ascii="TimesNewRomanPSMT" w:eastAsia="TimesNewRomanPSMT" w:hAnsi="TimesNewRomanPSMT"/>
          <w:color w:val="000000"/>
          <w:sz w:val="24"/>
        </w:rPr>
        <w:t>https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>://</w:t>
      </w:r>
      <w:r>
        <w:rPr>
          <w:rFonts w:ascii="TimesNewRomanPSMT" w:eastAsia="TimesNewRomanPSMT" w:hAnsi="TimesNewRomanPSMT"/>
          <w:color w:val="000000"/>
          <w:sz w:val="24"/>
        </w:rPr>
        <w:t>arxiv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>.</w:t>
      </w:r>
      <w:r>
        <w:rPr>
          <w:rFonts w:ascii="TimesNewRomanPSMT" w:eastAsia="TimesNewRomanPSMT" w:hAnsi="TimesNewRomanPSMT"/>
          <w:color w:val="000000"/>
          <w:sz w:val="24"/>
        </w:rPr>
        <w:t>org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>/</w:t>
      </w:r>
      <w:r>
        <w:rPr>
          <w:rFonts w:ascii="TimesNewRomanPSMT" w:eastAsia="TimesNewRomanPSMT" w:hAnsi="TimesNewRomanPSMT"/>
          <w:color w:val="000000"/>
          <w:sz w:val="24"/>
        </w:rPr>
        <w:t>abs</w:t>
      </w:r>
      <w:r w:rsidRPr="007C276D">
        <w:rPr>
          <w:rFonts w:ascii="TimesNewRomanPSMT" w:eastAsia="TimesNewRomanPSMT" w:hAnsi="TimesNewRomanPSMT"/>
          <w:color w:val="000000"/>
          <w:sz w:val="24"/>
          <w:lang w:val="ru-RU"/>
        </w:rPr>
        <w:t>/2502.00532 (дата обращения: 15.12.2025).</w:t>
      </w:r>
    </w:p>
    <w:p w14:paraId="70DBAEDF" w14:textId="77777777" w:rsidR="001D49F6" w:rsidRPr="00E93E6B" w:rsidRDefault="001D49F6" w:rsidP="001D49F6">
      <w:pPr>
        <w:autoSpaceDE w:val="0"/>
        <w:autoSpaceDN w:val="0"/>
        <w:spacing w:before="332" w:after="0" w:line="266" w:lineRule="exact"/>
        <w:rPr>
          <w:lang w:val="ru-RU"/>
        </w:rPr>
      </w:pPr>
      <w:r w:rsidRPr="00FE39FC">
        <w:rPr>
          <w:rFonts w:ascii="TimesNewRomanPSMT" w:eastAsia="TimesNewRomanPSMT" w:hAnsi="TimesNewRomanPSMT"/>
          <w:color w:val="000000"/>
          <w:sz w:val="24"/>
          <w:lang w:val="ru-RU"/>
        </w:rPr>
        <w:t>Дата</w:t>
      </w:r>
      <w:r w:rsidRPr="00E93E6B">
        <w:rPr>
          <w:rFonts w:ascii="TimesNewRomanPSMT" w:eastAsia="TimesNewRomanPSMT" w:hAnsi="TimesNewRomanPSMT"/>
          <w:color w:val="000000"/>
          <w:sz w:val="24"/>
          <w:lang w:val="ru-RU"/>
        </w:rPr>
        <w:t xml:space="preserve"> </w:t>
      </w:r>
      <w:r w:rsidRPr="00FE39FC">
        <w:rPr>
          <w:rFonts w:ascii="TimesNewRomanPSMT" w:eastAsia="TimesNewRomanPSMT" w:hAnsi="TimesNewRomanPSMT"/>
          <w:color w:val="000000"/>
          <w:sz w:val="24"/>
          <w:lang w:val="ru-RU"/>
        </w:rPr>
        <w:t>поступления</w:t>
      </w:r>
      <w:r w:rsidRPr="00E93E6B">
        <w:rPr>
          <w:rFonts w:ascii="TimesNewRomanPSMT" w:eastAsia="TimesNewRomanPSMT" w:hAnsi="TimesNewRomanPSMT"/>
          <w:color w:val="000000"/>
          <w:sz w:val="24"/>
          <w:lang w:val="ru-RU"/>
        </w:rPr>
        <w:t xml:space="preserve">: 20.01.2026 </w:t>
      </w:r>
    </w:p>
    <w:p w14:paraId="36D0A7A9" w14:textId="77777777" w:rsidR="001D49F6" w:rsidRPr="00FE39FC" w:rsidRDefault="001D49F6" w:rsidP="001D49F6">
      <w:pPr>
        <w:autoSpaceDE w:val="0"/>
        <w:autoSpaceDN w:val="0"/>
        <w:spacing w:before="50" w:after="0" w:line="266" w:lineRule="exact"/>
        <w:rPr>
          <w:lang w:val="ru-RU"/>
        </w:rPr>
      </w:pPr>
      <w:r w:rsidRPr="00FE39FC">
        <w:rPr>
          <w:rFonts w:ascii="TimesNewRomanPSMT" w:eastAsia="TimesNewRomanPSMT" w:hAnsi="TimesNewRomanPSMT"/>
          <w:color w:val="000000"/>
          <w:sz w:val="24"/>
          <w:lang w:val="ru-RU"/>
        </w:rPr>
        <w:lastRenderedPageBreak/>
        <w:t xml:space="preserve">Решение о публикации: 20.01.2026 </w:t>
      </w:r>
    </w:p>
    <w:p w14:paraId="7DBCC19A" w14:textId="77777777" w:rsidR="001D49F6" w:rsidRPr="00FE39FC" w:rsidRDefault="001D49F6" w:rsidP="001D49F6">
      <w:pPr>
        <w:autoSpaceDE w:val="0"/>
        <w:autoSpaceDN w:val="0"/>
        <w:spacing w:before="398" w:after="0" w:line="266" w:lineRule="exact"/>
        <w:rPr>
          <w:lang w:val="ru-RU"/>
        </w:rPr>
      </w:pPr>
      <w:r w:rsidRPr="00FE39FC">
        <w:rPr>
          <w:rFonts w:ascii="TimesNewRomanPSMT" w:eastAsia="TimesNewRomanPSMT" w:hAnsi="TimesNewRomanPSMT"/>
          <w:color w:val="000000"/>
          <w:sz w:val="24"/>
          <w:lang w:val="ru-RU"/>
        </w:rPr>
        <w:t xml:space="preserve">Контактная информация </w:t>
      </w:r>
    </w:p>
    <w:p w14:paraId="4D5C2E86" w14:textId="77777777" w:rsidR="001D49F6" w:rsidRDefault="001D49F6" w:rsidP="001D49F6">
      <w:pPr>
        <w:autoSpaceDE w:val="0"/>
        <w:autoSpaceDN w:val="0"/>
        <w:spacing w:before="54" w:after="0" w:line="266" w:lineRule="exact"/>
        <w:rPr>
          <w:rFonts w:ascii="TimesNewRomanPSMT" w:eastAsia="TimesNewRomanPSMT" w:hAnsi="TimesNewRomanPSMT"/>
          <w:color w:val="000000"/>
          <w:sz w:val="24"/>
          <w:lang w:val="ru-RU"/>
        </w:rPr>
      </w:pPr>
      <w:r w:rsidRPr="00FE39FC">
        <w:rPr>
          <w:rFonts w:ascii="TimesNewRomanPSMT" w:eastAsia="TimesNewRomanPSMT" w:hAnsi="TimesNewRomanPSMT"/>
          <w:color w:val="000000"/>
          <w:sz w:val="24"/>
          <w:lang w:val="ru-RU"/>
        </w:rPr>
        <w:t xml:space="preserve">МАРИКИН Александр Николаевич - доктор техн. наук, профессор </w:t>
      </w:r>
    </w:p>
    <w:p w14:paraId="6471B500" w14:textId="77777777" w:rsidR="00E62498" w:rsidRDefault="00E62498" w:rsidP="00E62498">
      <w:pPr>
        <w:autoSpaceDE w:val="0"/>
        <w:autoSpaceDN w:val="0"/>
        <w:spacing w:before="54" w:after="0" w:line="266" w:lineRule="exact"/>
        <w:rPr>
          <w:rFonts w:ascii="TimesNewRomanPSMT" w:eastAsia="TimesNewRomanPSMT" w:hAnsi="TimesNewRomanPSMT"/>
          <w:color w:val="000000"/>
          <w:sz w:val="24"/>
          <w:lang w:val="ru-RU"/>
        </w:rPr>
      </w:pPr>
      <w:r>
        <w:rPr>
          <w:rFonts w:ascii="TimesNewRomanPSMT" w:eastAsia="TimesNewRomanPSMT" w:hAnsi="TimesNewRomanPSMT" w:hint="cs"/>
          <w:color w:val="000000"/>
          <w:sz w:val="24"/>
          <w:lang w:val="ru-RU"/>
        </w:rPr>
        <w:t>ЕВСТАФЬЕВ</w:t>
      </w:r>
      <w:r w:rsidRPr="00FE39FC">
        <w:rPr>
          <w:rFonts w:ascii="TimesNewRomanPSMT" w:eastAsia="TimesNewRomanPSMT" w:hAnsi="TimesNewRomanPSMT"/>
          <w:color w:val="000000"/>
          <w:sz w:val="24"/>
          <w:lang w:val="ru-RU"/>
        </w:rPr>
        <w:t xml:space="preserve"> А</w:t>
      </w:r>
      <w:r>
        <w:rPr>
          <w:rFonts w:ascii="TimesNewRomanPSMT" w:eastAsia="TimesNewRomanPSMT" w:hAnsi="TimesNewRomanPSMT"/>
          <w:color w:val="000000"/>
          <w:sz w:val="24"/>
          <w:lang w:val="ru-RU"/>
        </w:rPr>
        <w:t>ндрей Михайло</w:t>
      </w:r>
      <w:r w:rsidRPr="00FE39FC">
        <w:rPr>
          <w:rFonts w:ascii="TimesNewRomanPSMT" w:eastAsia="TimesNewRomanPSMT" w:hAnsi="TimesNewRomanPSMT"/>
          <w:color w:val="000000"/>
          <w:sz w:val="24"/>
          <w:lang w:val="ru-RU"/>
        </w:rPr>
        <w:t xml:space="preserve">вич - доктор техн. наук, профессор </w:t>
      </w:r>
    </w:p>
    <w:p w14:paraId="7939B789" w14:textId="73DB8E09" w:rsidR="001D49F6" w:rsidRPr="00FE39FC" w:rsidRDefault="001D49F6" w:rsidP="001D49F6">
      <w:pPr>
        <w:autoSpaceDE w:val="0"/>
        <w:autoSpaceDN w:val="0"/>
        <w:spacing w:before="20" w:after="0" w:line="296" w:lineRule="exact"/>
        <w:ind w:right="1152"/>
        <w:rPr>
          <w:lang w:val="ru-RU"/>
        </w:rPr>
      </w:pPr>
      <w:r>
        <w:rPr>
          <w:rFonts w:ascii="TimesNewRomanPSMT" w:eastAsia="TimesNewRomanPSMT" w:hAnsi="TimesNewRomanPSMT"/>
          <w:color w:val="000000"/>
          <w:sz w:val="24"/>
          <w:lang w:val="ru-RU"/>
        </w:rPr>
        <w:t>ЖЕМЧУГОВ Валерий Григорьевич - канд. техн. наук, доцент, zhem</w:t>
      </w:r>
      <w:r w:rsidR="004879C1">
        <w:rPr>
          <w:rFonts w:ascii="TimesNewRomanPSMT" w:eastAsia="TimesNewRomanPSMT" w:hAnsi="TimesNewRomanPSMT"/>
          <w:color w:val="000000"/>
          <w:sz w:val="24"/>
        </w:rPr>
        <w:t>chugov</w:t>
      </w:r>
      <w:r>
        <w:rPr>
          <w:rFonts w:ascii="TimesNewRomanPSMT" w:eastAsia="TimesNewRomanPSMT" w:hAnsi="TimesNewRomanPSMT"/>
          <w:color w:val="000000"/>
          <w:sz w:val="24"/>
          <w:lang w:val="ru-RU"/>
        </w:rPr>
        <w:t>@</w:t>
      </w:r>
      <w:r w:rsidR="004879C1">
        <w:rPr>
          <w:rFonts w:ascii="TimesNewRomanPSMT" w:eastAsia="TimesNewRomanPSMT" w:hAnsi="TimesNewRomanPSMT"/>
          <w:color w:val="000000"/>
          <w:sz w:val="24"/>
        </w:rPr>
        <w:t>pgups</w:t>
      </w:r>
      <w:r>
        <w:rPr>
          <w:rFonts w:ascii="TimesNewRomanPSMT" w:eastAsia="TimesNewRomanPSMT" w:hAnsi="TimesNewRomanPSMT"/>
          <w:color w:val="000000"/>
          <w:sz w:val="24"/>
          <w:lang w:val="ru-RU"/>
        </w:rPr>
        <w:t>.ru</w:t>
      </w:r>
    </w:p>
    <w:p w14:paraId="3642EA3F" w14:textId="77777777" w:rsidR="001D49F6" w:rsidRPr="00E93E6B" w:rsidRDefault="001D49F6" w:rsidP="001D49F6">
      <w:pPr>
        <w:autoSpaceDE w:val="0"/>
        <w:autoSpaceDN w:val="0"/>
        <w:spacing w:after="494" w:line="220" w:lineRule="exact"/>
        <w:rPr>
          <w:lang w:val="ru-RU"/>
        </w:rPr>
      </w:pPr>
      <w:r w:rsidRPr="007C276D">
        <w:rPr>
          <w:lang w:val="ru-RU"/>
        </w:rPr>
        <w:t>ОНОФРИЙЧУК Андрей Дмитриевич – аспирант, 11</w:t>
      </w:r>
      <w:r>
        <w:t>lisov</w:t>
      </w:r>
      <w:r w:rsidRPr="007C276D">
        <w:rPr>
          <w:lang w:val="ru-RU"/>
        </w:rPr>
        <w:t>11@</w:t>
      </w:r>
      <w:r>
        <w:t>gmail</w:t>
      </w:r>
      <w:r w:rsidRPr="007C276D">
        <w:rPr>
          <w:lang w:val="ru-RU"/>
        </w:rPr>
        <w:t>.</w:t>
      </w:r>
      <w:r>
        <w:t>com</w:t>
      </w:r>
    </w:p>
    <w:p w14:paraId="402146E2" w14:textId="77777777" w:rsidR="001D49F6" w:rsidRDefault="001D49F6" w:rsidP="001D49F6">
      <w:pPr>
        <w:autoSpaceDE w:val="0"/>
        <w:autoSpaceDN w:val="0"/>
        <w:spacing w:after="0" w:line="245" w:lineRule="auto"/>
        <w:ind w:right="144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Study of Direct Neural Control of an Induction Motor Trained in a Digital Twin </w:t>
      </w:r>
    </w:p>
    <w:p w14:paraId="57A91754" w14:textId="77777777" w:rsidR="001D49F6" w:rsidRDefault="001D49F6" w:rsidP="001D49F6">
      <w:pPr>
        <w:autoSpaceDE w:val="0"/>
        <w:autoSpaceDN w:val="0"/>
        <w:spacing w:before="372" w:after="0" w:line="238" w:lineRule="auto"/>
      </w:pPr>
      <w:r>
        <w:rPr>
          <w:rFonts w:ascii="Times New Roman" w:eastAsia="Times New Roman" w:hAnsi="Times New Roman"/>
          <w:b/>
          <w:color w:val="000000"/>
          <w:sz w:val="24"/>
        </w:rPr>
        <w:t>A. N. Marikin, A. M. Evstafyev, V. G. Zhemchugov, A. D. Onofriychuk</w:t>
      </w:r>
    </w:p>
    <w:p w14:paraId="0CF0D972" w14:textId="77777777" w:rsidR="001D49F6" w:rsidRDefault="001D49F6" w:rsidP="001D49F6">
      <w:pPr>
        <w:autoSpaceDE w:val="0"/>
        <w:autoSpaceDN w:val="0"/>
        <w:spacing w:before="384" w:after="0" w:line="236" w:lineRule="exact"/>
        <w:ind w:left="10" w:right="1440" w:hanging="10"/>
      </w:pPr>
      <w:r>
        <w:rPr>
          <w:rFonts w:ascii="TimesNewRomanPSMT" w:eastAsia="TimesNewRomanPSMT" w:hAnsi="TimesNewRomanPSMT"/>
          <w:color w:val="000000"/>
          <w:sz w:val="18"/>
        </w:rPr>
        <w:t>Emperor Alexander I Petersburg State Transport University, 9, Moskovsky pr., Saint Petersburg, 190031, Russian Federation</w:t>
      </w:r>
    </w:p>
    <w:p w14:paraId="0ED29B6C" w14:textId="38EB1133" w:rsidR="001D49F6" w:rsidRDefault="001D49F6" w:rsidP="001D49F6">
      <w:pPr>
        <w:autoSpaceDE w:val="0"/>
        <w:autoSpaceDN w:val="0"/>
        <w:spacing w:before="370" w:after="0" w:line="262" w:lineRule="exact"/>
        <w:ind w:left="10" w:right="38" w:hanging="10"/>
        <w:jc w:val="both"/>
      </w:pPr>
      <w:r>
        <w:rPr>
          <w:rFonts w:ascii="Times New Roman" w:eastAsia="Times New Roman" w:hAnsi="Times New Roman"/>
          <w:b/>
          <w:color w:val="000000"/>
        </w:rPr>
        <w:t xml:space="preserve">For citation: </w:t>
      </w:r>
      <w:r>
        <w:rPr>
          <w:rFonts w:ascii="TimesNewRomanPSMT" w:eastAsia="TimesNewRomanPSMT" w:hAnsi="TimesNewRomanPSMT"/>
          <w:color w:val="000000"/>
        </w:rPr>
        <w:t xml:space="preserve">Marikin A.N., Evstafyev A.M., Zhemchugov V.G., Onofriychuk A.D. Study of Direct Neural Control of an Induction Motor Trained in a Digital Twin. </w:t>
      </w:r>
      <w:r>
        <w:rPr>
          <w:rFonts w:ascii="Times New Roman" w:eastAsia="Times New Roman" w:hAnsi="Times New Roman"/>
          <w:i/>
          <w:color w:val="000000"/>
        </w:rPr>
        <w:t>Proceedings of Petersburg Transport University</w:t>
      </w:r>
      <w:r>
        <w:rPr>
          <w:rFonts w:ascii="TimesNewRomanPSMT" w:eastAsia="TimesNewRomanPSMT" w:hAnsi="TimesNewRomanPSMT"/>
          <w:color w:val="000000"/>
        </w:rPr>
        <w:t>, 2026, vol. 16, iss. 1, pp. 25–34. (In Russian) DOI:</w:t>
      </w:r>
    </w:p>
    <w:p w14:paraId="40A129C5" w14:textId="77777777" w:rsidR="001D49F6" w:rsidRDefault="001D49F6" w:rsidP="00A76B41">
      <w:pPr>
        <w:autoSpaceDE w:val="0"/>
        <w:autoSpaceDN w:val="0"/>
        <w:spacing w:before="336" w:after="0" w:line="274" w:lineRule="exact"/>
        <w:ind w:firstLine="14"/>
        <w:jc w:val="both"/>
      </w:pPr>
      <w:r>
        <w:rPr>
          <w:rFonts w:ascii="Times New Roman" w:eastAsia="Times New Roman" w:hAnsi="Times New Roman"/>
          <w:b/>
        </w:rPr>
        <w:t>Summary</w:t>
        <w:br/>
        <w:t xml:space="preserve">Objective: To compare MIC with FOC </w:t>
      </w:r>
      <w:r>
        <w:rPr>
          <w:rFonts w:ascii="Times New Roman" w:eastAsia="Times New Roman" w:hAnsi="Times New Roman"/>
          <w:b/>
          <w:highlight w:val="red"/>
        </w:rPr>
        <w:t>at a constant speed reference under changing load torque</w:t>
      </w:r>
      <w:r>
        <w:rPr>
          <w:rFonts w:ascii="Times New Roman" w:eastAsia="Times New Roman" w:hAnsi="Times New Roman"/>
          <w:b/>
        </w:rPr>
        <w:t xml:space="preserve"> without complete prior identification of the particular motor. Methods: A digital twin was used; current, active power, and speed error were evaluated at 0.5 and 1.0 rated torque. Practical importance: The policy can be adapted from </w:t>
      </w:r>
      <w:r>
        <w:rPr>
          <w:rFonts w:ascii="Times New Roman" w:eastAsia="Times New Roman" w:hAnsi="Times New Roman"/>
          <w:b/>
          <w:highlight w:val="red"/>
        </w:rPr>
        <w:t>a short measurement window</w:t>
      </w:r>
      <w:r>
        <w:rPr>
          <w:rFonts w:ascii="Times New Roman" w:eastAsia="Times New Roman" w:hAnsi="Times New Roman"/>
          <w:b/>
        </w:rPr>
        <w:t xml:space="preserve"> and deployed on an embedded platform.</w:t>
      </w:r>
    </w:p>
    <w:p w14:paraId="01CC3280" w14:textId="77777777" w:rsidR="001D49F6" w:rsidRDefault="001D49F6" w:rsidP="001D49F6">
      <w:pPr>
        <w:autoSpaceDE w:val="0"/>
        <w:autoSpaceDN w:val="0"/>
        <w:spacing w:before="350" w:after="0" w:line="262" w:lineRule="exact"/>
        <w:ind w:left="10" w:hanging="10"/>
      </w:pPr>
      <w:r>
        <w:rPr>
          <w:rFonts w:ascii="Times New Roman" w:eastAsia="Times New Roman" w:hAnsi="Times New Roman"/>
          <w:b/>
          <w:color w:val="000000"/>
        </w:rPr>
        <w:t xml:space="preserve">Keywords: </w:t>
      </w:r>
      <w:r>
        <w:rPr>
          <w:rFonts w:ascii="TimesNewRomanPSMT" w:eastAsia="TimesNewRomanPSMT" w:hAnsi="TimesNewRomanPSMT"/>
          <w:color w:val="000000"/>
        </w:rPr>
        <w:t xml:space="preserve">induction motor; electric drive; reinforcement learning; digital twin; neural network control; field-oriented control. </w:t>
      </w:r>
    </w:p>
    <w:p w14:paraId="11BA1A5D" w14:textId="77777777" w:rsidR="001D49F6" w:rsidRDefault="001D49F6" w:rsidP="001D49F6">
      <w:pPr>
        <w:autoSpaceDE w:val="0"/>
        <w:autoSpaceDN w:val="0"/>
        <w:spacing w:before="362" w:after="0" w:line="230" w:lineRule="auto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References </w:t>
      </w:r>
    </w:p>
    <w:p w14:paraId="2B922EAA" w14:textId="646728F6" w:rsidR="001D49F6" w:rsidRDefault="00D172AE" w:rsidP="00D172AE">
      <w:pPr>
        <w:autoSpaceDE w:val="0"/>
        <w:autoSpaceDN w:val="0"/>
        <w:spacing w:before="360" w:after="0" w:line="286" w:lineRule="exact"/>
        <w:ind w:left="14" w:firstLine="284"/>
        <w:jc w:val="both"/>
      </w:pPr>
      <w:r>
        <w:rPr>
          <w:rFonts w:ascii="TimesNewRomanPSMT" w:eastAsia="TimesNewRomanPSMT" w:hAnsi="TimesNewRomanPSMT"/>
          <w:color w:val="000000"/>
          <w:sz w:val="24"/>
        </w:rPr>
        <w:t>1. Kazemikia D. Reinforcement Learning for Motor Control: A Comprehensive Review // arXiv preprint. 2024.  URL: https://arxiv.org/abs/2412.17936 (accessed: 15.12.2025).</w:t>
      </w:r>
    </w:p>
    <w:p w14:paraId="2215082D" w14:textId="77777777" w:rsidR="00D172AE" w:rsidRDefault="001D49F6" w:rsidP="00D172AE">
      <w:pPr>
        <w:autoSpaceDE w:val="0"/>
        <w:autoSpaceDN w:val="0"/>
        <w:spacing w:before="10" w:after="0" w:line="284" w:lineRule="exact"/>
        <w:ind w:left="14" w:firstLine="284"/>
        <w:jc w:val="both"/>
      </w:pPr>
      <w:r>
        <w:rPr>
          <w:rFonts w:ascii="TimesNewRomanPSMT" w:eastAsia="TimesNewRomanPSMT" w:hAnsi="TimesNewRomanPSMT"/>
          <w:color w:val="000000"/>
          <w:sz w:val="24"/>
        </w:rPr>
        <w:t xml:space="preserve">2. Field-Oriented Control of PMSM Using Reinforcement Learning // MathWorks Motor Control Blockset Example. – URL: https://www.mathworks.com/help/mcb/gs/foc-of-pmsm-using-reinforcement-learning.html (accessed: 15.12.2025). </w:t>
      </w:r>
    </w:p>
    <w:p w14:paraId="1BE766B7" w14:textId="77777777" w:rsidR="001D49F6" w:rsidRDefault="00D172AE" w:rsidP="00D172AE">
      <w:pPr>
        <w:autoSpaceDE w:val="0"/>
        <w:autoSpaceDN w:val="0"/>
        <w:spacing w:before="10" w:after="0" w:line="284" w:lineRule="exact"/>
        <w:ind w:left="14" w:firstLine="284"/>
        <w:jc w:val="both"/>
      </w:pPr>
      <w:r w:rsidRPr="00D172AE">
        <w:rPr>
          <w:rFonts w:ascii="TimesNewRomanPSMT" w:eastAsia="TimesNewRomanPSMT" w:hAnsi="TimesNewRomanPSMT"/>
          <w:color w:val="000000"/>
          <w:sz w:val="24"/>
        </w:rPr>
        <w:t xml:space="preserve">3. Benmalek E., Rayyam M., Gege A. et al. AI-Based Field-Oriented Control for Induction Motors // IAPGOS. 2024. Vol. 14, No. 4. P. 75–81. – URL: https://doi.org/10.35784/iapgos.6253 (accessed: 15.12.2025). </w:t>
      </w:r>
    </w:p>
    <w:p w14:paraId="175C2F15" w14:textId="77777777" w:rsidR="00D172AE" w:rsidRDefault="001D49F6" w:rsidP="00D172AE">
      <w:pPr>
        <w:tabs>
          <w:tab w:val="left" w:pos="298"/>
        </w:tabs>
        <w:autoSpaceDE w:val="0"/>
        <w:autoSpaceDN w:val="0"/>
        <w:spacing w:after="0" w:line="276" w:lineRule="exact"/>
        <w:ind w:right="-24" w:firstLine="284"/>
        <w:jc w:val="both"/>
      </w:pPr>
      <w:r>
        <w:rPr>
          <w:rFonts w:ascii="TimesNewRomanPSMT" w:eastAsia="TimesNewRomanPSMT" w:hAnsi="TimesNewRomanPSMT"/>
          <w:color w:val="000000"/>
          <w:sz w:val="24"/>
        </w:rPr>
        <w:lastRenderedPageBreak/>
        <w:t xml:space="preserve">4. Saurabh P., Nagabhooshanam N., Kumar D. et al. Enhanced Induction Motor Control Using Deep Reinforcement Learning and PWM with DTC // Electric Power Components and Systems. 2023. Vol. 51, No. 12. P. 1083–1095. – URL: https://doi.org/10.1080/15325008.2023.2274357 (accessed: 15.12.2025). </w:t>
      </w:r>
    </w:p>
    <w:p w14:paraId="4686FFBC" w14:textId="77777777" w:rsidR="001D49F6" w:rsidRDefault="001D49F6" w:rsidP="00D172AE">
      <w:pPr>
        <w:tabs>
          <w:tab w:val="left" w:pos="298"/>
        </w:tabs>
        <w:autoSpaceDE w:val="0"/>
        <w:autoSpaceDN w:val="0"/>
        <w:spacing w:after="0" w:line="276" w:lineRule="exact"/>
        <w:ind w:right="-24" w:firstLine="284"/>
        <w:jc w:val="both"/>
      </w:pPr>
      <w:r>
        <w:rPr>
          <w:rFonts w:ascii="TimesNewRomanPSMT" w:eastAsia="TimesNewRomanPSMT" w:hAnsi="TimesNewRomanPSMT"/>
          <w:color w:val="000000"/>
          <w:sz w:val="24"/>
        </w:rPr>
        <w:t xml:space="preserve">5. Abdullah Q., Farah N., Ahmed M. S. et al. Sensorless Speed Control of Induction Motor Drives Using Reinforcement Learning and Self-Tuning Simplified Fuzzy Logic Controller // IEEE Access. 2024. Vol. 12. P. 136485–136501. – URL: https://doi.org/10.1109/ACCESS.2024.3435529 (accessed: 15.12.2025). </w:t>
      </w:r>
    </w:p>
    <w:p w14:paraId="440DB799" w14:textId="77777777" w:rsidR="001D49F6" w:rsidRDefault="001D49F6" w:rsidP="00D172AE">
      <w:pPr>
        <w:autoSpaceDE w:val="0"/>
        <w:autoSpaceDN w:val="0"/>
        <w:spacing w:before="8" w:after="0" w:line="286" w:lineRule="exact"/>
        <w:ind w:left="14" w:right="20" w:firstLine="284"/>
        <w:jc w:val="both"/>
      </w:pPr>
      <w:r>
        <w:rPr>
          <w:rFonts w:ascii="TimesNewRomanPSMT" w:eastAsia="TimesNewRomanPSMT" w:hAnsi="TimesNewRomanPSMT"/>
          <w:color w:val="000000"/>
          <w:sz w:val="24"/>
        </w:rPr>
        <w:t xml:space="preserve">6. Lenz I., Knepper R., Saxena A. DeepMPC: Learning Deep Latent Features for Model Predictive Control // Proc. of Robotics: Science and Systems. 2015. – URL: https://doi.org/10.15607/RSS.2015.XI.012 (accessed: 15.12.2025). </w:t>
      </w:r>
    </w:p>
    <w:p w14:paraId="5D493C6D" w14:textId="77777777" w:rsidR="00D172AE" w:rsidRDefault="001D49F6" w:rsidP="00D172AE">
      <w:pPr>
        <w:autoSpaceDE w:val="0"/>
        <w:autoSpaceDN w:val="0"/>
        <w:spacing w:before="8" w:after="0" w:line="284" w:lineRule="exact"/>
        <w:ind w:left="14" w:right="22" w:firstLine="284"/>
        <w:jc w:val="both"/>
      </w:pPr>
      <w:r>
        <w:rPr>
          <w:rFonts w:ascii="TimesNewRomanPSMT" w:eastAsia="TimesNewRomanPSMT" w:hAnsi="TimesNewRomanPSMT"/>
          <w:color w:val="000000"/>
          <w:sz w:val="24"/>
          <w:lang w:val="es-ES"/>
        </w:rPr>
        <w:t>7. Xu Z., Wang J., Xu X. et al. A Survey of Reinforcement Learning-Driven Knowledge Distillation: Techniques, Challenges, and Applications // Preprints. 2025. – URL: https://doi.org/10.20944/preprints202503.0903.v2 (accessed: 15.12.2025).</w:t>
      </w:r>
    </w:p>
    <w:p w14:paraId="5DA00540" w14:textId="77777777" w:rsidR="001D49F6" w:rsidRDefault="001D49F6" w:rsidP="00D172AE">
      <w:pPr>
        <w:autoSpaceDE w:val="0"/>
        <w:autoSpaceDN w:val="0"/>
        <w:spacing w:before="8" w:after="0" w:line="284" w:lineRule="exact"/>
        <w:ind w:left="14" w:right="22" w:firstLine="284"/>
        <w:jc w:val="both"/>
      </w:pPr>
      <w:r>
        <w:rPr>
          <w:rFonts w:ascii="TimesNewRomanPSMT" w:eastAsia="TimesNewRomanPSMT" w:hAnsi="TimesNewRomanPSMT"/>
          <w:color w:val="000000"/>
          <w:sz w:val="24"/>
        </w:rPr>
        <w:t xml:space="preserve">8. Eschmann J., Albani D., Loianno G. RLtools: A Fast, Portable Deep Reinforcement Learning Library for Continuous Control // Journal of Machine Learning Research. 2024. Vol. 25, No. 301. P. 1–19. – URL: https://www.jmlr.org/papers/v25/24-0248.html (accessed: 15.12.2025). </w:t>
      </w:r>
    </w:p>
    <w:p w14:paraId="5EF6586B" w14:textId="77777777" w:rsidR="00D172AE" w:rsidRDefault="001D49F6" w:rsidP="00D172AE">
      <w:pPr>
        <w:autoSpaceDE w:val="0"/>
        <w:autoSpaceDN w:val="0"/>
        <w:spacing w:before="12" w:after="0" w:line="284" w:lineRule="exact"/>
        <w:ind w:left="14" w:right="26" w:firstLine="284"/>
        <w:jc w:val="both"/>
        <w:rPr>
          <w:rFonts w:ascii="TimesNewRomanPSMT" w:eastAsia="TimesNewRomanPSMT" w:hAnsi="TimesNewRomanPSMT"/>
          <w:color w:val="000000"/>
          <w:sz w:val="24"/>
        </w:rPr>
      </w:pPr>
      <w:r w:rsidRPr="007C276D">
        <w:rPr>
          <w:rFonts w:ascii="TimesNewRomanPSMT" w:eastAsia="TimesNewRomanPSMT" w:hAnsi="TimesNewRomanPSMT"/>
          <w:color w:val="000000"/>
          <w:sz w:val="24"/>
          <w:lang w:val="es-ES"/>
        </w:rPr>
        <w:t xml:space="preserve">9. Szydlo T., Jayaraman P. P., Li Y. et al. </w:t>
      </w:r>
      <w:r>
        <w:rPr>
          <w:rFonts w:ascii="TimesNewRomanPSMT" w:eastAsia="TimesNewRomanPSMT" w:hAnsi="TimesNewRomanPSMT"/>
          <w:color w:val="000000"/>
          <w:sz w:val="24"/>
        </w:rPr>
        <w:t xml:space="preserve">TinyRL: Towards Reinforcement Learning on Tiny Embedded Devices // Proc. of the 31st ACM Int. Conf. on Information and Knowledge Management (CIKM). 2022. P. 4985–4988. – URL: https://doi.org/10.1145/3511808.3557206 (accessed: 15.12.2025). </w:t>
      </w:r>
    </w:p>
    <w:p w14:paraId="2BAAD77D" w14:textId="2CFF9796" w:rsidR="001D49F6" w:rsidRDefault="001D49F6" w:rsidP="00D172AE">
      <w:pPr>
        <w:autoSpaceDE w:val="0"/>
        <w:autoSpaceDN w:val="0"/>
        <w:spacing w:before="12" w:after="0" w:line="284" w:lineRule="exact"/>
        <w:ind w:left="14" w:right="26" w:firstLine="284"/>
        <w:jc w:val="both"/>
      </w:pPr>
      <w:r>
        <w:rPr>
          <w:rFonts w:ascii="TimesNewRomanPSMT" w:eastAsia="TimesNewRomanPSMT" w:hAnsi="TimesNewRomanPSMT"/>
          <w:color w:val="000000"/>
          <w:sz w:val="24"/>
        </w:rPr>
        <w:t>10. Mouk Elele M. J., Pau D., Zhuang S., Facchinetti T. Enhancing Field-Oriented Control of Electric Drives with Tiny Neural Network Optimized for Micro-controllers // arXiv preprint. 2025.  URL: https://arxiv.org/abs/2502.00532 (accessed: 15.12.2025).</w:t>
      </w:r>
    </w:p>
    <w:p w14:paraId="5419AF59" w14:textId="77777777" w:rsidR="001D49F6" w:rsidRDefault="001D49F6" w:rsidP="00D172AE">
      <w:pPr>
        <w:autoSpaceDE w:val="0"/>
        <w:autoSpaceDN w:val="0"/>
        <w:spacing w:before="358" w:after="0" w:line="262" w:lineRule="exact"/>
        <w:ind w:right="6354"/>
      </w:pPr>
      <w:r>
        <w:rPr>
          <w:rFonts w:ascii="TimesNewRomanPSMT" w:eastAsia="TimesNewRomanPSMT" w:hAnsi="TimesNewRomanPSMT"/>
          <w:color w:val="000000"/>
        </w:rPr>
        <w:t>Received: January 20,</w:t>
      </w:r>
      <w:r w:rsidR="00D172AE" w:rsidRPr="00E93E6B">
        <w:rPr>
          <w:rFonts w:ascii="TimesNewRomanPSMT" w:eastAsia="TimesNewRomanPSMT" w:hAnsi="TimesNewRomanPSMT"/>
          <w:color w:val="000000"/>
        </w:rPr>
        <w:t xml:space="preserve"> </w:t>
      </w:r>
      <w:r>
        <w:rPr>
          <w:rFonts w:ascii="TimesNewRomanPSMT" w:eastAsia="TimesNewRomanPSMT" w:hAnsi="TimesNewRomanPSMT"/>
          <w:color w:val="000000"/>
        </w:rPr>
        <w:t xml:space="preserve">2026 </w:t>
      </w:r>
      <w:r>
        <w:br/>
      </w:r>
      <w:r>
        <w:rPr>
          <w:rFonts w:ascii="TimesNewRomanPSMT" w:eastAsia="TimesNewRomanPSMT" w:hAnsi="TimesNewRomanPSMT"/>
          <w:color w:val="000000"/>
        </w:rPr>
        <w:t xml:space="preserve">Accepted: January 20, 2026 </w:t>
      </w:r>
    </w:p>
    <w:p w14:paraId="7868DA78" w14:textId="77777777" w:rsidR="00A76B41" w:rsidRDefault="001D49F6" w:rsidP="00A76B41">
      <w:pPr>
        <w:autoSpaceDE w:val="0"/>
        <w:autoSpaceDN w:val="0"/>
        <w:spacing w:after="0" w:line="296" w:lineRule="exact"/>
        <w:ind w:right="720"/>
        <w:rPr>
          <w:rFonts w:ascii="TimesNewRomanPSMT" w:eastAsia="TimesNewRomanPSMT" w:hAnsi="TimesNewRomanPSMT"/>
          <w:color w:val="000000"/>
          <w:sz w:val="24"/>
        </w:rPr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Author’s information </w:t>
      </w:r>
      <w:r>
        <w:br/>
      </w:r>
      <w:r>
        <w:rPr>
          <w:rFonts w:ascii="TimesNewRomanPSMT" w:eastAsia="TimesNewRomanPSMT" w:hAnsi="TimesNewRomanPSMT"/>
          <w:color w:val="000000"/>
          <w:sz w:val="24"/>
        </w:rPr>
        <w:t xml:space="preserve">MARIKIN Alexander Nikolaevich – D.E.S, Professor </w:t>
      </w:r>
    </w:p>
    <w:p w14:paraId="6992386F" w14:textId="77777777" w:rsidR="00A76B41" w:rsidRDefault="00A76B41" w:rsidP="00A76B41">
      <w:pPr>
        <w:autoSpaceDE w:val="0"/>
        <w:autoSpaceDN w:val="0"/>
        <w:spacing w:after="0" w:line="296" w:lineRule="exact"/>
        <w:ind w:right="720"/>
        <w:rPr>
          <w:rFonts w:ascii="TimesNewRomanPSMT" w:eastAsia="TimesNewRomanPSMT" w:hAnsi="TimesNewRomanPSMT"/>
          <w:color w:val="000000"/>
          <w:sz w:val="24"/>
        </w:rPr>
      </w:pPr>
      <w:r w:rsidRPr="00A76B41">
        <w:rPr>
          <w:rFonts w:ascii="TimesNewRomanPSMT" w:eastAsia="TimesNewRomanPSMT" w:hAnsi="TimesNewRomanPSMT"/>
          <w:color w:val="000000"/>
          <w:sz w:val="24"/>
        </w:rPr>
        <w:t xml:space="preserve">EVSTAFYEV Andrey Mihailovich </w:t>
      </w:r>
      <w:r>
        <w:rPr>
          <w:rFonts w:ascii="TimesNewRomanPSMT" w:eastAsia="TimesNewRomanPSMT" w:hAnsi="TimesNewRomanPSMT"/>
          <w:color w:val="000000"/>
          <w:sz w:val="24"/>
        </w:rPr>
        <w:t xml:space="preserve">– D.E.S, Professor </w:t>
      </w:r>
    </w:p>
    <w:p w14:paraId="298BEA7E" w14:textId="77777777" w:rsidR="00A76B41" w:rsidRDefault="001D49F6" w:rsidP="00A76B41">
      <w:pPr>
        <w:autoSpaceDE w:val="0"/>
        <w:autoSpaceDN w:val="0"/>
        <w:spacing w:after="0" w:line="296" w:lineRule="exact"/>
        <w:ind w:right="720"/>
        <w:rPr>
          <w:rFonts w:ascii="TimesNewRomanPSMT" w:eastAsia="TimesNewRomanPSMT" w:hAnsi="TimesNewRomanPSMT"/>
          <w:color w:val="000000"/>
          <w:sz w:val="24"/>
        </w:rPr>
      </w:pPr>
      <w:r>
        <w:rPr>
          <w:rFonts w:ascii="TimesNewRomanPSMT" w:eastAsia="TimesNewRomanPSMT" w:hAnsi="TimesNewRomanPSMT"/>
          <w:color w:val="000000"/>
          <w:sz w:val="24"/>
        </w:rPr>
        <w:t>ZHEMCHUGOV Valery Grigoryevich - PhD in Engineering, Associate Professor</w:t>
      </w:r>
    </w:p>
    <w:p w14:paraId="77AFBA63" w14:textId="77777777" w:rsidR="001D49F6" w:rsidRDefault="001D49F6" w:rsidP="00A76B41">
      <w:pPr>
        <w:autoSpaceDE w:val="0"/>
        <w:autoSpaceDN w:val="0"/>
        <w:spacing w:after="0" w:line="296" w:lineRule="exact"/>
        <w:ind w:right="720"/>
      </w:pPr>
      <w:r>
        <w:rPr>
          <w:rFonts w:ascii="TimesNewRomanPSMT" w:eastAsia="TimesNewRomanPSMT" w:hAnsi="TimesNewRomanPSMT"/>
          <w:color w:val="000000"/>
          <w:sz w:val="24"/>
        </w:rPr>
        <w:t>ONOFRIYCHUK Andrey Dmitrievich – Postgradua</w:t>
      </w:r>
      <w:r w:rsidR="00A76B41">
        <w:rPr>
          <w:rFonts w:ascii="TimesNewRomanPSMT" w:eastAsia="TimesNewRomanPSMT" w:hAnsi="TimesNewRomanPSMT"/>
          <w:color w:val="000000"/>
          <w:sz w:val="24"/>
        </w:rPr>
        <w:t>te student, 11lisov11@gmail.com</w:t>
      </w:r>
    </w:p>
    <w:p w14:paraId="2B8E6745" w14:textId="77777777" w:rsidR="00041A37" w:rsidRPr="00603E5A" w:rsidRDefault="00041A37" w:rsidP="001D49F6">
      <w:pPr>
        <w:autoSpaceDE w:val="0"/>
        <w:autoSpaceDN w:val="0"/>
        <w:spacing w:after="0" w:line="360" w:lineRule="auto"/>
        <w:jc w:val="center"/>
      </w:pPr>
    </w:p>
    <w:sectPr w:rsidR="00041A37" w:rsidRPr="00603E5A" w:rsidSect="00034616">
      <w:footerReference w:type="default" r:id="rId12"/>
      <w:pgSz w:w="11906" w:h="16838"/>
      <w:pgMar w:top="714" w:right="1440" w:bottom="53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532EFF" w14:textId="77777777" w:rsidR="00E03159" w:rsidRDefault="00E03159" w:rsidP="002C3C68">
      <w:pPr>
        <w:spacing w:after="0" w:line="240" w:lineRule="auto"/>
      </w:pPr>
      <w:r>
        <w:separator/>
      </w:r>
    </w:p>
  </w:endnote>
  <w:endnote w:type="continuationSeparator" w:id="0">
    <w:p w14:paraId="4F5FE9E0" w14:textId="77777777" w:rsidR="00E03159" w:rsidRDefault="00E03159" w:rsidP="002C3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TimesNewRomanPSMT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252081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6183C8A" w14:textId="77777777" w:rsidR="002C3C68" w:rsidRPr="002C3C68" w:rsidRDefault="002C3C68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C3C6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C3C6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C3C6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44664E" w:rsidRPr="0044664E">
          <w:rPr>
            <w:rFonts w:ascii="Times New Roman" w:hAnsi="Times New Roman" w:cs="Times New Roman"/>
            <w:noProof/>
            <w:sz w:val="28"/>
            <w:szCs w:val="28"/>
            <w:lang w:val="ru-RU"/>
          </w:rPr>
          <w:t>1</w:t>
        </w:r>
        <w:r w:rsidRPr="002C3C6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AD7363A" w14:textId="77777777" w:rsidR="002C3C68" w:rsidRDefault="002C3C68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FDFAD6" w14:textId="77777777" w:rsidR="00E03159" w:rsidRDefault="00E03159" w:rsidP="002C3C68">
      <w:pPr>
        <w:spacing w:after="0" w:line="240" w:lineRule="auto"/>
      </w:pPr>
      <w:r>
        <w:separator/>
      </w:r>
    </w:p>
  </w:footnote>
  <w:footnote w:type="continuationSeparator" w:id="0">
    <w:p w14:paraId="66D9143B" w14:textId="77777777" w:rsidR="00E03159" w:rsidRDefault="00E03159" w:rsidP="002C3C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1A37"/>
    <w:rsid w:val="0006063C"/>
    <w:rsid w:val="0007049A"/>
    <w:rsid w:val="00075A0E"/>
    <w:rsid w:val="00081BC1"/>
    <w:rsid w:val="000840D4"/>
    <w:rsid w:val="00087F70"/>
    <w:rsid w:val="000927F8"/>
    <w:rsid w:val="000970A1"/>
    <w:rsid w:val="000B2FE3"/>
    <w:rsid w:val="000B7D53"/>
    <w:rsid w:val="000D42C9"/>
    <w:rsid w:val="0011064C"/>
    <w:rsid w:val="0015074B"/>
    <w:rsid w:val="00152F51"/>
    <w:rsid w:val="00156BAB"/>
    <w:rsid w:val="00170F9D"/>
    <w:rsid w:val="001B124A"/>
    <w:rsid w:val="001C347C"/>
    <w:rsid w:val="001C7ACE"/>
    <w:rsid w:val="001D3D57"/>
    <w:rsid w:val="001D49F6"/>
    <w:rsid w:val="001F12A5"/>
    <w:rsid w:val="00213672"/>
    <w:rsid w:val="002139C5"/>
    <w:rsid w:val="00220A21"/>
    <w:rsid w:val="00230D70"/>
    <w:rsid w:val="00244E71"/>
    <w:rsid w:val="00250A4C"/>
    <w:rsid w:val="002605CC"/>
    <w:rsid w:val="00263E02"/>
    <w:rsid w:val="00266FCB"/>
    <w:rsid w:val="00287790"/>
    <w:rsid w:val="0029639D"/>
    <w:rsid w:val="002C2A99"/>
    <w:rsid w:val="002C3C68"/>
    <w:rsid w:val="002D08D3"/>
    <w:rsid w:val="002D6EE4"/>
    <w:rsid w:val="002E2001"/>
    <w:rsid w:val="002F016E"/>
    <w:rsid w:val="00306E9F"/>
    <w:rsid w:val="003075C1"/>
    <w:rsid w:val="00326F90"/>
    <w:rsid w:val="00353DD4"/>
    <w:rsid w:val="00362B9E"/>
    <w:rsid w:val="00373BD7"/>
    <w:rsid w:val="00384266"/>
    <w:rsid w:val="003933C8"/>
    <w:rsid w:val="003A7625"/>
    <w:rsid w:val="003B580C"/>
    <w:rsid w:val="003C3950"/>
    <w:rsid w:val="003D20E7"/>
    <w:rsid w:val="003F08E7"/>
    <w:rsid w:val="003F4678"/>
    <w:rsid w:val="004049C9"/>
    <w:rsid w:val="004259DF"/>
    <w:rsid w:val="0042699B"/>
    <w:rsid w:val="0044664E"/>
    <w:rsid w:val="00460AB1"/>
    <w:rsid w:val="00470708"/>
    <w:rsid w:val="004879C1"/>
    <w:rsid w:val="00495595"/>
    <w:rsid w:val="004C44EC"/>
    <w:rsid w:val="004D1205"/>
    <w:rsid w:val="004D4360"/>
    <w:rsid w:val="00502846"/>
    <w:rsid w:val="005070C0"/>
    <w:rsid w:val="005212E9"/>
    <w:rsid w:val="005573A0"/>
    <w:rsid w:val="00561E3B"/>
    <w:rsid w:val="00577F58"/>
    <w:rsid w:val="00580358"/>
    <w:rsid w:val="005C612B"/>
    <w:rsid w:val="005F42EE"/>
    <w:rsid w:val="00603E5A"/>
    <w:rsid w:val="00623E6D"/>
    <w:rsid w:val="0062621C"/>
    <w:rsid w:val="00640007"/>
    <w:rsid w:val="00650074"/>
    <w:rsid w:val="00653FF5"/>
    <w:rsid w:val="00673B02"/>
    <w:rsid w:val="00687119"/>
    <w:rsid w:val="00692B9E"/>
    <w:rsid w:val="006B5134"/>
    <w:rsid w:val="006B7E2D"/>
    <w:rsid w:val="006C20BF"/>
    <w:rsid w:val="006D6CD2"/>
    <w:rsid w:val="006E239B"/>
    <w:rsid w:val="00702B4F"/>
    <w:rsid w:val="00713D2B"/>
    <w:rsid w:val="00731E11"/>
    <w:rsid w:val="0075043A"/>
    <w:rsid w:val="00754220"/>
    <w:rsid w:val="00761C34"/>
    <w:rsid w:val="007B45F8"/>
    <w:rsid w:val="007C276D"/>
    <w:rsid w:val="007C55F7"/>
    <w:rsid w:val="007E6485"/>
    <w:rsid w:val="007F2616"/>
    <w:rsid w:val="0080389C"/>
    <w:rsid w:val="0081671F"/>
    <w:rsid w:val="00816F68"/>
    <w:rsid w:val="008253AB"/>
    <w:rsid w:val="00852198"/>
    <w:rsid w:val="00853B57"/>
    <w:rsid w:val="00855A20"/>
    <w:rsid w:val="00887236"/>
    <w:rsid w:val="00892A5E"/>
    <w:rsid w:val="00894216"/>
    <w:rsid w:val="008B1157"/>
    <w:rsid w:val="008B519B"/>
    <w:rsid w:val="008C26B3"/>
    <w:rsid w:val="00905AF7"/>
    <w:rsid w:val="009444EB"/>
    <w:rsid w:val="009504D0"/>
    <w:rsid w:val="00950849"/>
    <w:rsid w:val="00951CBA"/>
    <w:rsid w:val="00951F9F"/>
    <w:rsid w:val="00963526"/>
    <w:rsid w:val="00967334"/>
    <w:rsid w:val="00971741"/>
    <w:rsid w:val="009866F8"/>
    <w:rsid w:val="009C021D"/>
    <w:rsid w:val="009C4EB5"/>
    <w:rsid w:val="009C5F1C"/>
    <w:rsid w:val="009D3705"/>
    <w:rsid w:val="009D773A"/>
    <w:rsid w:val="00A011C0"/>
    <w:rsid w:val="00A01365"/>
    <w:rsid w:val="00A045B5"/>
    <w:rsid w:val="00A05E45"/>
    <w:rsid w:val="00A3183C"/>
    <w:rsid w:val="00A63C67"/>
    <w:rsid w:val="00A704F7"/>
    <w:rsid w:val="00A715F8"/>
    <w:rsid w:val="00A76B41"/>
    <w:rsid w:val="00A811F1"/>
    <w:rsid w:val="00A82EAE"/>
    <w:rsid w:val="00A95655"/>
    <w:rsid w:val="00AA0BB0"/>
    <w:rsid w:val="00AA1D8D"/>
    <w:rsid w:val="00AC4701"/>
    <w:rsid w:val="00AE629D"/>
    <w:rsid w:val="00AF6755"/>
    <w:rsid w:val="00B022C5"/>
    <w:rsid w:val="00B26AF5"/>
    <w:rsid w:val="00B47730"/>
    <w:rsid w:val="00B84567"/>
    <w:rsid w:val="00B85CCC"/>
    <w:rsid w:val="00BA6BEB"/>
    <w:rsid w:val="00BA734A"/>
    <w:rsid w:val="00BF3E36"/>
    <w:rsid w:val="00BF5702"/>
    <w:rsid w:val="00C27D26"/>
    <w:rsid w:val="00C34397"/>
    <w:rsid w:val="00C503FF"/>
    <w:rsid w:val="00C54BC1"/>
    <w:rsid w:val="00C5774E"/>
    <w:rsid w:val="00C74024"/>
    <w:rsid w:val="00C82CA0"/>
    <w:rsid w:val="00C83C19"/>
    <w:rsid w:val="00C872CB"/>
    <w:rsid w:val="00C90046"/>
    <w:rsid w:val="00CB0664"/>
    <w:rsid w:val="00CE3A22"/>
    <w:rsid w:val="00CE70F6"/>
    <w:rsid w:val="00D172AE"/>
    <w:rsid w:val="00D234B8"/>
    <w:rsid w:val="00D3485A"/>
    <w:rsid w:val="00D42BB0"/>
    <w:rsid w:val="00D45E85"/>
    <w:rsid w:val="00D60FE2"/>
    <w:rsid w:val="00D75C51"/>
    <w:rsid w:val="00D91925"/>
    <w:rsid w:val="00DB344B"/>
    <w:rsid w:val="00DD2C2C"/>
    <w:rsid w:val="00DE40C2"/>
    <w:rsid w:val="00DE7518"/>
    <w:rsid w:val="00DF7E3B"/>
    <w:rsid w:val="00E028C7"/>
    <w:rsid w:val="00E03159"/>
    <w:rsid w:val="00E12203"/>
    <w:rsid w:val="00E13D90"/>
    <w:rsid w:val="00E13FAF"/>
    <w:rsid w:val="00E20F0B"/>
    <w:rsid w:val="00E25955"/>
    <w:rsid w:val="00E555EE"/>
    <w:rsid w:val="00E62498"/>
    <w:rsid w:val="00E764C9"/>
    <w:rsid w:val="00E844B5"/>
    <w:rsid w:val="00E93E6B"/>
    <w:rsid w:val="00EA754B"/>
    <w:rsid w:val="00EB2599"/>
    <w:rsid w:val="00EB36B0"/>
    <w:rsid w:val="00EC5CAF"/>
    <w:rsid w:val="00EF3B45"/>
    <w:rsid w:val="00F11F64"/>
    <w:rsid w:val="00F12A8C"/>
    <w:rsid w:val="00F14164"/>
    <w:rsid w:val="00F44F8E"/>
    <w:rsid w:val="00F70294"/>
    <w:rsid w:val="00F7169E"/>
    <w:rsid w:val="00F951BD"/>
    <w:rsid w:val="00FA5BE6"/>
    <w:rsid w:val="00FB1C94"/>
    <w:rsid w:val="00FC693F"/>
    <w:rsid w:val="00FE076C"/>
    <w:rsid w:val="00FE2506"/>
    <w:rsid w:val="00FE5036"/>
    <w:rsid w:val="00FF3E4B"/>
    <w:rsid w:val="00FF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91B0E7E"/>
  <w14:defaultImageDpi w14:val="300"/>
  <w15:docId w15:val="{F42AAA00-8FA9-47D3-A69E-C36608A78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603E5A"/>
    <w:rPr>
      <w:color w:val="0000FF" w:themeColor="hyperlink"/>
      <w:u w:val="single"/>
    </w:rPr>
  </w:style>
  <w:style w:type="character" w:customStyle="1" w:styleId="14">
    <w:name w:val="Неразрешенное упоминание1"/>
    <w:basedOn w:val="a2"/>
    <w:uiPriority w:val="99"/>
    <w:semiHidden/>
    <w:unhideWhenUsed/>
    <w:rsid w:val="00603E5A"/>
    <w:rPr>
      <w:color w:val="605E5C"/>
      <w:shd w:val="clear" w:color="auto" w:fill="E1DFDD"/>
    </w:rPr>
  </w:style>
  <w:style w:type="character" w:styleId="aff9">
    <w:name w:val="Placeholder Text"/>
    <w:basedOn w:val="a2"/>
    <w:uiPriority w:val="99"/>
    <w:semiHidden/>
    <w:rsid w:val="00502846"/>
    <w:rPr>
      <w:color w:val="666666"/>
    </w:rPr>
  </w:style>
  <w:style w:type="paragraph" w:styleId="affa">
    <w:name w:val="Balloon Text"/>
    <w:basedOn w:val="a1"/>
    <w:link w:val="affb"/>
    <w:uiPriority w:val="99"/>
    <w:semiHidden/>
    <w:unhideWhenUsed/>
    <w:rsid w:val="00673B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b">
    <w:name w:val="Текст выноски Знак"/>
    <w:basedOn w:val="a2"/>
    <w:link w:val="affa"/>
    <w:uiPriority w:val="99"/>
    <w:semiHidden/>
    <w:rsid w:val="00673B0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9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D65535-3B13-428F-96F5-A3EB2C3E0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3311</Words>
  <Characters>18873</Characters>
  <Application>Microsoft Office Word</Application>
  <DocSecurity>0</DocSecurity>
  <Lines>157</Lines>
  <Paragraphs>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22140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157</cp:lastModifiedBy>
  <cp:revision>2</cp:revision>
  <cp:lastPrinted>2026-03-10T11:19:00Z</cp:lastPrinted>
  <dcterms:created xsi:type="dcterms:W3CDTF">2026-08-27T06:59:00Z</dcterms:created>
  <dcterms:modified xsi:type="dcterms:W3CDTF">2026-08-27T06:59:00Z</dcterms:modified>
  <cp:category/>
</cp:coreProperties>
</file>