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60"/>
        <w:ind w:firstLine="0"/>
        <w:jc w:val="center"/>
      </w:pPr>
      <w:r>
        <w:rPr>
          <w:rFonts w:ascii="Times New Roman" w:hAnsi="Times New Roman" w:eastAsia="Times New Roman" w:cs="Times New Roman"/>
          <w:b w:val="0"/>
          <w:sz w:val="24"/>
          <w:lang w:val="ru-RU" w:eastAsia="ru-RU" w:bidi="ru-RU"/>
          <w:color w:val="000000"/>
        </w:rPr>
        <w:t>ФЕДЕРАЛЬНОЕ АГЕНТСТВО ЖЕЛЕЗНОДОРОЖНОГО ТРАНСПОРТА</w:t>
      </w:r>
    </w:p>
    <w:p>
      <w:pPr>
        <w:spacing w:line="240" w:lineRule="auto" w:before="0" w:after="60"/>
        <w:ind w:firstLine="0"/>
        <w:jc w:val="center"/>
      </w:pPr>
      <w:r>
        <w:rPr>
          <w:rFonts w:ascii="Times New Roman" w:hAnsi="Times New Roman" w:eastAsia="Times New Roman" w:cs="Times New Roman"/>
          <w:b w:val="0"/>
          <w:sz w:val="24"/>
          <w:lang w:val="ru-RU" w:eastAsia="ru-RU" w:bidi="ru-RU"/>
          <w:color w:val="000000"/>
        </w:rPr>
        <w:t>Федеральное государственное бюджетное образовательное учреждение высшего образования</w:t>
      </w:r>
    </w:p>
    <w:p>
      <w:pPr>
        <w:spacing w:line="240" w:lineRule="auto" w:before="0" w:after="0"/>
        <w:ind w:firstLine="0"/>
        <w:jc w:val="center"/>
      </w:pPr>
      <w:r>
        <w:rPr>
          <w:rFonts w:ascii="Times New Roman" w:hAnsi="Times New Roman" w:eastAsia="Times New Roman" w:cs="Times New Roman"/>
          <w:b/>
          <w:sz w:val="24"/>
          <w:lang w:val="ru-RU" w:eastAsia="ru-RU" w:bidi="ru-RU"/>
          <w:color w:val="000000"/>
        </w:rPr>
        <w:t>«ПЕТЕРБУРГСКИЙ ГОСУДАРСТВЕННЫЙ УНИВЕРСИТЕТ ПУТЕЙ СООБЩЕНИЯ ИМПЕРАТОРА АЛЕКСАНДРА I»</w:t>
      </w:r>
    </w:p>
    <w:p>
      <w:pPr>
        <w:spacing w:line="240" w:lineRule="auto" w:before="480" w:after="0"/>
        <w:ind w:firstLine="0"/>
        <w:jc w:val="right"/>
      </w:pPr>
      <w:r>
        <w:rPr>
          <w:rFonts w:ascii="Times New Roman" w:hAnsi="Times New Roman" w:eastAsia="Times New Roman" w:cs="Times New Roman"/>
          <w:b w:val="0"/>
          <w:sz w:val="24"/>
          <w:lang w:val="ru-RU" w:eastAsia="ru-RU" w:bidi="ru-RU"/>
          <w:color w:val="000000"/>
        </w:rPr>
        <w:t>На правах рукописи</w:t>
      </w:r>
    </w:p>
    <w:p>
      <w:pPr>
        <w:spacing w:line="240" w:lineRule="auto" w:before="600" w:after="0"/>
        <w:ind w:firstLine="0"/>
        <w:jc w:val="center"/>
      </w:pPr>
      <w:r>
        <w:rPr>
          <w:rFonts w:ascii="Times New Roman" w:hAnsi="Times New Roman" w:eastAsia="Times New Roman" w:cs="Times New Roman"/>
          <w:b/>
          <w:sz w:val="28"/>
          <w:lang w:val="ru-RU" w:eastAsia="ru-RU" w:bidi="ru-RU"/>
          <w:color w:val="000000"/>
        </w:rPr>
        <w:t>[ФАМИЛИЯ ИМЯ ОТЧЕСТВО]</w:t>
      </w:r>
    </w:p>
    <w:p>
      <w:pPr>
        <w:spacing w:line="240" w:lineRule="auto" w:before="480" w:after="0"/>
        <w:ind w:firstLine="0"/>
        <w:jc w:val="center"/>
      </w:pPr>
      <w:r>
        <w:rPr>
          <w:rFonts w:ascii="Times New Roman" w:hAnsi="Times New Roman" w:eastAsia="Times New Roman" w:cs="Times New Roman"/>
          <w:b/>
          <w:sz w:val="28"/>
          <w:lang w:val="ru-RU" w:eastAsia="ru-RU" w:bidi="ru-RU"/>
          <w:color w:val="000000"/>
        </w:rPr>
        <w:t>ПОВЫШЕНИЕ ЭНЕРГЕТИЧЕСКОЙ ЭФФЕКТИВНОСТИ АСИНХРОННОГО ТЯГОВОГО ЭЛЕКТРОПРИВОДА НА ОСНОВЕ ИНТЕЛЛЕКТУАЛЬНОЙ АДАПТАЦИИ АЛГОРИТМОВ ВЕКТОРНОГО УПРАВЛЕНИЯ</w:t>
      </w:r>
    </w:p>
    <w:p>
      <w:pPr>
        <w:spacing w:line="240" w:lineRule="auto" w:before="480" w:after="0"/>
        <w:ind w:firstLine="0"/>
        <w:jc w:val="center"/>
      </w:pPr>
      <w:r>
        <w:rPr>
          <w:rFonts w:ascii="Times New Roman" w:hAnsi="Times New Roman" w:eastAsia="Times New Roman" w:cs="Times New Roman"/>
          <w:b w:val="0"/>
          <w:sz w:val="28"/>
          <w:lang w:val="ru-RU" w:eastAsia="ru-RU" w:bidi="ru-RU"/>
          <w:color w:val="000000"/>
        </w:rPr>
        <w:t>Специальность 2.9.3 — Подвижной состав железных дорог, тяга поездов и электрификация</w:t>
      </w:r>
    </w:p>
    <w:p>
      <w:pPr>
        <w:spacing w:line="240" w:lineRule="auto" w:before="240" w:after="0"/>
        <w:ind w:firstLine="0"/>
        <w:jc w:val="center"/>
      </w:pPr>
      <w:r>
        <w:rPr>
          <w:rFonts w:ascii="Times New Roman" w:hAnsi="Times New Roman" w:eastAsia="Times New Roman" w:cs="Times New Roman"/>
          <w:b w:val="0"/>
          <w:sz w:val="28"/>
          <w:lang w:val="ru-RU" w:eastAsia="ru-RU" w:bidi="ru-RU"/>
          <w:color w:val="000000"/>
        </w:rPr>
        <w:t>Диссертация на соискание учёной степени кандидата технических наук</w:t>
      </w:r>
    </w:p>
    <w:p>
      <w:pPr>
        <w:spacing w:line="240" w:lineRule="auto" w:before="2400" w:after="0"/>
        <w:ind w:firstLine="0" w:left="5102"/>
        <w:jc w:val="right"/>
      </w:pPr>
      <w:r>
        <w:rPr>
          <w:rFonts w:ascii="Times New Roman" w:hAnsi="Times New Roman" w:eastAsia="Times New Roman" w:cs="Times New Roman"/>
          <w:b w:val="0"/>
          <w:sz w:val="24"/>
          <w:lang w:val="ru-RU" w:eastAsia="ru-RU" w:bidi="ru-RU"/>
          <w:color w:val="000000"/>
        </w:rPr>
        <w:t>Научный руководитель:</w:t>
        <w:br/>
        <w:t>[Ф.И.О., учёная степень, учёное звание]</w:t>
      </w:r>
    </w:p>
    <w:p>
      <w:pPr>
        <w:spacing w:line="240" w:lineRule="auto" w:before="4600" w:after="0"/>
        <w:ind w:firstLine="0"/>
        <w:jc w:val="center"/>
      </w:pPr>
      <w:r>
        <w:rPr>
          <w:rFonts w:ascii="Times New Roman" w:hAnsi="Times New Roman" w:eastAsia="Times New Roman" w:cs="Times New Roman"/>
          <w:b w:val="0"/>
          <w:sz w:val="28"/>
          <w:lang w:val="ru-RU" w:eastAsia="ru-RU" w:bidi="ru-RU"/>
          <w:color w:val="000000"/>
        </w:rPr>
        <w:t>Санкт-Петербург — 2026</w:t>
      </w:r>
    </w:p>
    <w:p>
      <w:r>
        <w:rPr>
          <w:rFonts w:ascii="Times New Roman" w:hAnsi="Times New Roman" w:eastAsia="Times New Roman" w:cs="Times New Roman"/>
          <w:lang w:val="ru-RU" w:eastAsia="ru-RU" w:bidi="ru-RU"/>
          <w:color w:val="000000"/>
        </w:rPr>
        <w:br w:type="page"/>
      </w:r>
    </w:p>
    <w:p>
      <w:pPr>
        <w:pStyle w:val="Heading1"/>
        <w:pageBreakBefore w:val="0"/>
      </w:pPr>
      <w:r>
        <w:rPr>
          <w:rFonts w:ascii="Times New Roman" w:hAnsi="Times New Roman" w:eastAsia="Times New Roman" w:cs="Times New Roman"/>
          <w:b/>
          <w:sz w:val="28"/>
          <w:lang w:val="ru-RU" w:eastAsia="ru-RU" w:bidi="ru-RU"/>
          <w:color w:val="000000"/>
        </w:rPr>
        <w:t>СТАТУС РУКОПИСИ</w:t>
      </w:r>
    </w:p>
    <w:p>
      <w:pPr/>
      <w:r>
        <w:rPr>
          <w:rFonts w:ascii="Times New Roman" w:hAnsi="Times New Roman" w:eastAsia="Times New Roman" w:cs="Times New Roman"/>
          <w:i w:val="0"/>
          <w:sz w:val="28"/>
          <w:lang w:val="ru-RU" w:eastAsia="ru-RU" w:bidi="ru-RU"/>
          <w:color w:val="000000"/>
        </w:rPr>
        <w:t>Настоящий документ является развёрнутой рабочей редакцией диссертации, подготовленной на основе фактических исходных кодов, конфигураций, каталожного профиля двигателя и результатов программной проверки проекта MIC_AI. Поля с фамилией соискателя, научным руководителем, апробацией, публикациями и актами внедрения оставлены для заполнения после согласования с научным руководителем.</w:t>
      </w:r>
    </w:p>
    <w:p>
      <w:pPr/>
      <w:r>
        <w:rPr>
          <w:rFonts w:ascii="Times New Roman" w:hAnsi="Times New Roman" w:eastAsia="Times New Roman" w:cs="Times New Roman"/>
          <w:i w:val="0"/>
          <w:sz w:val="28"/>
          <w:lang w:val="ru-RU" w:eastAsia="ru-RU" w:bidi="ru-RU"/>
          <w:color w:val="000000"/>
        </w:rPr>
        <w:t>В документе строго разделены три класса доказательств: подтверждённые сборкой и статическими проверками результаты; результаты моделирования на персональном компьютере; будущие стендовые и высоковольтные испытания. Моделирование не выдается за физический эксперимент, а подготовленный образ V/f не считается допуском к силовому пуску до измерения параметров двигателя, проверки предзаряда и аппаратных защит.</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1 — Статус основных частей исследования</w:t>
      </w:r>
    </w:p>
    <w:tbl>
      <w:tblPr>
        <w:tblStyle w:val="TableGrid"/>
        <w:tblW w:type="dxa" w:w="9921"/>
        <w:tblLayout w:type="fixed"/>
        <w:tblLook w:firstColumn="1" w:firstRow="1" w:lastColumn="0" w:lastRow="0" w:noHBand="0" w:noVBand="1" w:val="04A0"/>
        <w:tblInd w:w="0" w:type="dxa"/>
      </w:tblPr>
      <w:tblGrid>
        <w:gridCol w:w="2573"/>
        <w:gridCol w:w="2265"/>
        <w:gridCol w:w="5083"/>
      </w:tblGrid>
      <w:tr>
        <w:trPr>
          <w:tblHeader w:val="true"/>
          <w:cantSplit/>
        </w:trPr>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Часть</w:t>
            </w:r>
          </w:p>
        </w:tc>
        <w:tc>
          <w:tcPr>
            <w:tcW w:type="dxa" w:w="226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Статус</w:t>
            </w:r>
          </w:p>
        </w:tc>
        <w:tc>
          <w:tcPr>
            <w:tcW w:type="dxa" w:w="508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Разрешённая формулировка</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Скалярное V/f</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Прошивка + SIL 48/48</w:t>
            </w:r>
          </w:p>
        </w:tc>
        <w:tc>
          <w:tcPr>
            <w:tcW w:type="dxa" w:w="508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Кандидат S1; требуется стендовая проверка</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Векторное FOC</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Encoder-observer SIL 24/24</w:t>
            </w:r>
          </w:p>
        </w:tc>
        <w:tc>
          <w:tcPr>
            <w:tcW w:type="dxa" w:w="508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Перенос после идентификации двигателя</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ИИ-настройка</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Policy holdout 600 точек</w:t>
            </w:r>
          </w:p>
        </w:tc>
        <w:tc>
          <w:tcPr>
            <w:tcW w:type="dxa" w:w="508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Расчётный выигрыш; supervisor обязателен</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ИИ-ШИМ</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Исследовательский прототип</w:t>
            </w:r>
          </w:p>
        </w:tc>
        <w:tc>
          <w:tcPr>
            <w:tcW w:type="dxa" w:w="508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Без утверждения о превосходстве и готовности к MCU</w:t>
            </w:r>
          </w:p>
        </w:tc>
      </w:tr>
    </w:tbl>
    <w:p>
      <w:pPr/>
      <w:r>
        <w:rPr>
          <w:rFonts w:ascii="Times New Roman" w:hAnsi="Times New Roman" w:eastAsia="Times New Roman" w:cs="Times New Roman"/>
          <w:i w:val="0"/>
          <w:sz w:val="28"/>
          <w:lang w:val="ru-RU" w:eastAsia="ru-RU" w:bidi="ru-RU"/>
          <w:color w:val="000000"/>
        </w:rPr>
        <w:t>Перед подачей в диссертационный совет рабочая редакция должна быть дополнена протоколами экспериментов, подтверждёнными публикациями по теме, сведениями об апробации, актами внедрения при их наличии и итоговыми выводами, согласованными с научным руководителем.</w:t>
      </w:r>
    </w:p>
    <w:p>
      <w:r>
        <w:rPr>
          <w:rFonts w:ascii="Times New Roman" w:hAnsi="Times New Roman" w:eastAsia="Times New Roman" w:cs="Times New Roman"/>
          <w:lang w:val="ru-RU" w:eastAsia="ru-RU" w:bidi="ru-RU"/>
          <w:color w:val="000000"/>
        </w:rPr>
        <w:br w:type="page"/>
      </w:r>
    </w:p>
    <w:p>
      <w:pPr>
        <w:ind w:firstLine="0"/>
        <w:jc w:val="center"/>
      </w:pPr>
      <w:r>
        <w:rPr>
          <w:rFonts w:ascii="Times New Roman" w:hAnsi="Times New Roman" w:eastAsia="Times New Roman" w:cs="Times New Roman"/>
          <w:b/>
          <w:sz w:val="28"/>
          <w:lang w:val="ru-RU" w:eastAsia="ru-RU" w:bidi="ru-RU"/>
          <w:color w:val="000000"/>
        </w:rPr>
        <w:t>ОГЛАВЛЕНИЕ</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СПИСОК СОКРАЩЕНИЙ И ОБОЗНАЧЕНИЙ</w:t>
        <w:tab/>
        <w:t>4</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ВВЕДЕНИЕ</w:t>
        <w:tab/>
        <w:t>5</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1 АНАЛИЗ МЕТОДОВ УПРАВЛЕНИЯ АСИНХРОННЫМ ТЯГОВЫМ ЭЛЕКТРОПРИВОДОМ</w:t>
        <w:tab/>
        <w:t>11</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1.1 Требования тягового применения</w:t>
        <w:tab/>
        <w:t>11</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1.2 Скалярное управление V/f</w:t>
        <w:tab/>
        <w:t>12</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1.3 Векторное управление и идентификация</w:t>
        <w:tab/>
        <w:t>13</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1.4 Интеллектуальные методы и требования к доказательству</w:t>
        <w:tab/>
        <w:t>13</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1.5 Постановка научной задачи</w:t>
        <w:tab/>
        <w:t>15</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1.6 Выводы по главе 1</w:t>
        <w:tab/>
        <w:t>15</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2 МАТЕМАТИЧЕСКИЕ МОДЕЛИ И КРИТЕРИИ КАЧЕСТВА</w:t>
        <w:tab/>
        <w:t>17</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2.1 Каталожный профиль и расчётная модель двигателя АИР56В2</w:t>
        <w:tab/>
        <w:t>17</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2.2 Модель асинхронной машины в координатах dq</w:t>
        <w:tab/>
        <w:t>18</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2.3 Скалярный закон, номинальная область и ослабление поля</w:t>
        <w:tab/>
        <w:t>19</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2.4 Преобразования Clarke и Park, структура FOC</w:t>
        <w:tab/>
        <w:t>20</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2.5 Пространственно-векторная модуляция и ограничения</w:t>
        <w:tab/>
        <w:t>21</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2.6 Критерии энергетической эффективности и робастности</w:t>
        <w:tab/>
        <w:t>23</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2.7 Граница переноса к тяговому электроприводу</w:t>
        <w:tab/>
        <w:t>23</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2.8 Выводы по главе 2</w:t>
        <w:tab/>
        <w:t>24</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3 ПРОГРАММНО-АППАРАТНАЯ ПЛАТФОРМА И ПРОСЛЕЖИВАЕМОСТЬ</w:t>
        <w:tab/>
        <w:t>25</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3.1 Архитектура стенда</w:t>
        <w:tab/>
        <w:t>25</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3.2 Конфигурация MCSDK и двигателя</w:t>
        <w:tab/>
        <w:t>26</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3.3 Контракт связи UNO Q — Nucleo</w:t>
        <w:tab/>
        <w:t>27</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3.4 Безопасное состояние и аппаратные защиты</w:t>
        <w:tab/>
        <w:t>29</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3.5 Сборка, хэширование и управление конфигурацией</w:t>
        <w:tab/>
        <w:t>30</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3.6 Готовность к расширению</w:t>
        <w:tab/>
        <w:t>31</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3.7 Выводы по главе 3</w:t>
        <w:tab/>
        <w:t>31</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4 КОНЦЕПЦИЯ МЕТОДА ОГРАНИЧЕННОЙ ИНТЕЛЛЕКТУАЛЬНОЙ АДАПТАЦИИ FOC</w:t>
        <w:tab/>
        <w:t>33</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4.1 Иерархическая организация управления</w:t>
        <w:tab/>
        <w:t>33</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4.2 Адаптация параметров модели и регуляторов</w:t>
        <w:tab/>
        <w:t>34</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4.3 Перспективное расширение: горизонтный выбор векторов</w:t>
        <w:tab/>
        <w:t>35</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4.4 Safety Gateway и проверяемые инварианты</w:t>
        <w:tab/>
        <w:t>35</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4.5 Цифровой двойник и цикл обучения</w:t>
        <w:tab/>
        <w:t>36</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4.6 Программа сравнения алгоритмов</w:t>
        <w:tab/>
        <w:t>38</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4.7 Выводы по главе 4</w:t>
        <w:tab/>
        <w:t>39</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5 ПРОГРАММНАЯ ПРОВЕРКА И МЕТОДИКА ЭКСПЕРИМЕНТАЛЬНОГО ИССЛЕДОВАНИЯ</w:t>
        <w:tab/>
        <w:t>40</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5.1 Подтверждённые результаты программной проверки</w:t>
        <w:tab/>
        <w:t>40</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5.2 Результаты воспроизводимого SIL-исследования</w:t>
        <w:tab/>
        <w:t>41</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5.3 Последовательность HIL- и стендовых испытаний</w:t>
        <w:tab/>
        <w:t>44</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5.4 План экспериментов и измерительные каналы</w:t>
        <w:tab/>
        <w:t>45</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5.5 Статистическая обработка</w:t>
        <w:tab/>
        <w:t>46</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5.6 Критерии завершения этапов</w:t>
        <w:tab/>
        <w:t>47</w:t>
      </w:r>
    </w:p>
    <w:p>
      <w:pPr>
        <w:tabs>
          <w:tab w:pos="9071" w:val="right" w:leader="dot"/>
        </w:tabs>
        <w:spacing w:line="240" w:lineRule="auto" w:before="0" w:after="0"/>
        <w:ind w:firstLine="0" w:left="369"/>
        <w:jc w:val="left"/>
      </w:pPr>
      <w:r>
        <w:rPr>
          <w:rFonts w:ascii="Times New Roman" w:hAnsi="Times New Roman" w:eastAsia="Times New Roman" w:cs="Times New Roman"/>
          <w:b w:val="0"/>
          <w:sz w:val="22"/>
          <w:lang w:val="ru-RU" w:eastAsia="ru-RU" w:bidi="ru-RU"/>
          <w:color w:val="000000"/>
        </w:rPr>
        <w:t>5.7 Выводы по главе 5</w:t>
        <w:tab/>
        <w:t>48</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ЗАКЛЮЧЕНИЕ</w:t>
        <w:tab/>
        <w:t>49</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СПИСОК ИЛЛЮСТРАТИВНОГО МАТЕРИАЛА</w:t>
        <w:tab/>
        <w:t>51</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СПИСОК ЛИТЕРАТУРЫ</w:t>
        <w:tab/>
        <w:t>52</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ПРИЛОЖЕНИЕ А Каталожный и расчётный профиль двигателя АИР56В2</w:t>
        <w:tab/>
        <w:t>54</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ПРИЛОЖЕНИЕ Б Таблица соединения UART верхнего уровня</w:t>
        <w:tab/>
        <w:t>55</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ПРИЛОЖЕНИЕ В Форма протокола стендового испытания</w:t>
        <w:tab/>
        <w:t>56</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ПРИЛОЖЕНИЕ Г Чек-лист допуска к силовому запуску</w:t>
        <w:tab/>
        <w:t>57</w:t>
      </w:r>
    </w:p>
    <w:p>
      <w:pPr>
        <w:tabs>
          <w:tab w:pos="9071" w:val="right" w:leader="dot"/>
        </w:tabs>
        <w:spacing w:line="240" w:lineRule="auto" w:before="0" w:after="0"/>
        <w:ind w:firstLine="0" w:left="0"/>
        <w:jc w:val="left"/>
      </w:pPr>
      <w:r>
        <w:rPr>
          <w:rFonts w:ascii="Times New Roman" w:hAnsi="Times New Roman" w:eastAsia="Times New Roman" w:cs="Times New Roman"/>
          <w:b/>
          <w:sz w:val="22"/>
          <w:lang w:val="ru-RU" w:eastAsia="ru-RU" w:bidi="ru-RU"/>
          <w:color w:val="000000"/>
        </w:rPr>
        <w:t>ПРИЛОЖЕНИЕ Д Матрица трассируемости задач и доказательств</w:t>
        <w:tab/>
        <w:t>58</w:t>
      </w:r>
    </w:p>
    <w:p>
      <w:r>
        <w:rPr>
          <w:rFonts w:ascii="Times New Roman" w:hAnsi="Times New Roman" w:eastAsia="Times New Roman" w:cs="Times New Roman"/>
          <w:lang w:val="ru-RU" w:eastAsia="ru-RU" w:bidi="ru-RU"/>
          <w:color w:val="000000"/>
        </w:rPr>
        <w:br w:type="page"/>
      </w:r>
    </w:p>
    <w:p>
      <w:pPr>
        <w:pStyle w:val="Heading1"/>
        <w:pageBreakBefore w:val="0"/>
      </w:pPr>
      <w:r>
        <w:rPr>
          <w:rFonts w:ascii="Times New Roman" w:hAnsi="Times New Roman" w:eastAsia="Times New Roman" w:cs="Times New Roman"/>
          <w:b/>
          <w:sz w:val="28"/>
          <w:lang w:val="ru-RU" w:eastAsia="ru-RU" w:bidi="ru-RU"/>
          <w:color w:val="000000"/>
        </w:rPr>
        <w:t>СПИСОК СОКРАЩЕНИЙ И ОБОЗНАЧЕНИЙ</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2 — Принятые сокращения</w:t>
      </w:r>
    </w:p>
    <w:tbl>
      <w:tblPr>
        <w:tblStyle w:val="TableGrid"/>
        <w:tblW w:type="dxa" w:w="9921"/>
        <w:tblLayout w:type="fixed"/>
        <w:tblLook w:firstColumn="1" w:firstRow="1" w:lastColumn="0" w:lastRow="0" w:noHBand="0" w:noVBand="1" w:val="04A0"/>
        <w:tblInd w:w="0" w:type="dxa"/>
      </w:tblPr>
      <w:tblGrid>
        <w:gridCol w:w="2265"/>
        <w:gridCol w:w="7656"/>
      </w:tblGrid>
      <w:tr>
        <w:trPr>
          <w:tblHeader w:val="true"/>
          <w:cantSplit/>
        </w:trPr>
        <w:tc>
          <w:tcPr>
            <w:tcW w:type="dxa" w:w="226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Обозначение</w:t>
            </w:r>
          </w:p>
        </w:tc>
        <w:tc>
          <w:tcPr>
            <w:tcW w:type="dxa" w:w="765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Расшифровка</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АД</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асинхронный двигатель</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ВАК</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Высшая аттестационная комиссия при Минобрнауки России</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ДПТ</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дискретное преобразование координат и/или данных</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ИИ</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искусственный интеллект</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КПД</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коэффициент полезного действия</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МК</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микроконтроллер</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ПЧ</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преобразователь частоты</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ШИМ</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широтно-импульсная модуляция</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ACIM</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asynchronous induction motor</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FOC</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field-oriented control, векторное управление с ориентацией по полю</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HIL</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hardware-in-the-loop, испытание аппаратуры в замкнутом контуре</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MCSDK</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STM32 Motor Control Software Development Kit</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OCP</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аппаратная защита от сверхтока</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PI</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пропорционально-интегральный регулятор</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SVPWM</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space-vector pulse-width modulation</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UART</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асинхронный последовательный интерфейс</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V/f</w:t>
            </w:r>
          </w:p>
        </w:tc>
        <w:tc>
          <w:tcPr>
            <w:tcW w:type="dxa" w:w="765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скалярное управление с заданным отношением напряжения к частоте</w:t>
            </w:r>
          </w:p>
        </w:tc>
      </w:tr>
    </w:tbl>
    <w:p>
      <w:pPr>
        <w:pStyle w:val="Heading1"/>
      </w:pPr>
      <w:r>
        <w:rPr>
          <w:rFonts w:ascii="Times New Roman" w:hAnsi="Times New Roman" w:eastAsia="Times New Roman" w:cs="Times New Roman"/>
          <w:lang w:val="ru-RU" w:eastAsia="ru-RU" w:bidi="ru-RU"/>
          <w:color w:val="000000"/>
        </w:rPr>
        <w:t>ВВЕДЕНИЕ</w:t>
      </w:r>
    </w:p>
    <w:p>
      <w:pPr/>
      <w:r>
        <w:rPr>
          <w:rFonts w:ascii="Times New Roman" w:hAnsi="Times New Roman" w:eastAsia="Times New Roman" w:cs="Times New Roman"/>
          <w:i w:val="0"/>
          <w:sz w:val="28"/>
          <w:lang w:val="ru-RU" w:eastAsia="ru-RU" w:bidi="ru-RU"/>
          <w:color w:val="000000"/>
        </w:rPr>
        <w:t>Актуальность темы исследования определяется необходимостью повышения энергетической эффективности, управляемости и диагностируемости тягового электропривода железнодорожного подвижного состава. Асинхронная машина в сочетании с полупроводниковым преобразователем обладает высокой конструктивной надёжностью, однако фактические потери, динамические качества и устойчивость управления зависят от качества идентификации параметров, структуры регуляторов, закона модуляции и ограничений силовой части. Для транспортного применения особенно важны воспроизводимость алгоритмов, отказобезопасное состояние и возможность доказать границы применимости результата.</w:t>
      </w:r>
    </w:p>
    <w:p>
      <w:pPr/>
      <w:r>
        <w:rPr>
          <w:rFonts w:ascii="Times New Roman" w:hAnsi="Times New Roman" w:eastAsia="Times New Roman" w:cs="Times New Roman"/>
          <w:i w:val="0"/>
          <w:sz w:val="28"/>
          <w:lang w:val="ru-RU" w:eastAsia="ru-RU" w:bidi="ru-RU"/>
          <w:color w:val="000000"/>
        </w:rPr>
        <w:t>Паспорт научной специальности 2.9.3 включает исследования тягового привода и силовых преобразователей, автоматизацию и управление подвижным составом, оценку энергетических потерь, а также компьютерное моделирование и испытания. Разрабатываемый подход соответствует этим направлениям, поскольку связывает модель асинхронного двигателя, микроконтроллерное управление преобразователем, программно-аппаратные защиты и методику сравнительных испытаний [1]. Лабораторный двигатель мощностью 0,25 кВт рассматривается как масштабная исследовательская установка, а не как непосредственный тяговый двигатель.</w:t>
      </w:r>
    </w:p>
    <w:p>
      <w:pPr/>
      <w:r>
        <w:rPr>
          <w:rFonts w:ascii="Times New Roman" w:hAnsi="Times New Roman" w:eastAsia="Times New Roman" w:cs="Times New Roman"/>
          <w:i w:val="0"/>
          <w:sz w:val="28"/>
          <w:lang w:val="ru-RU" w:eastAsia="ru-RU" w:bidi="ru-RU"/>
          <w:color w:val="000000"/>
        </w:rPr>
        <w:t>Степень разработанности темы характеризуется наличием хорошо исследованных законов V/f, векторного управления, прямого управления моментом и прогнозирующего управления [6-12]. Современные работы расширяют классические контуры нейросетевой идентификацией, настройкой регуляторов и оцениванием переменных состояния [13-18]. Вместе с тем публикационная новизна не может сводиться к простой замене PI-регулятора нейронной сетью. Требуется архитектура, в которой обучаемая часть действует в формально ограниченной области, а детерминированный контур реального времени сохраняет приоритет защиты.</w:t>
      </w:r>
    </w:p>
    <w:p>
      <w:pPr/>
      <w:r>
        <w:rPr>
          <w:rFonts w:ascii="Times New Roman" w:hAnsi="Times New Roman" w:eastAsia="Times New Roman" w:cs="Times New Roman"/>
          <w:i w:val="0"/>
          <w:sz w:val="28"/>
          <w:lang w:val="ru-RU" w:eastAsia="ru-RU" w:bidi="ru-RU"/>
          <w:color w:val="000000"/>
        </w:rPr>
        <w:t>Исходная инженерная база исследования включает NUCLEO-G431RB на микроконтроллере семейства STM32G431RBTx, переходную плату X-NUCLEO-IHM09M2, силовой модуль STEVAL-IPM15B, асинхронный двигатель IEK АИР56В2 и вычислительный узел Arduino UNO Q. Для этой конфигурации подготовлена сборка официального примера MCSDK ACIM V/f Open Loop, разработан программный контракт прямого UART внутри общего HOT-домена, сформирован комплект ELF, BIN и HEX и выпущена многостраничная схема соединений. Аппаратный UART-тракт, силовые платы и двигатель ещё не прошли совместные стендовые испытания, поэтому текущий результат является программно проверенным кандидатом.</w:t>
      </w:r>
    </w:p>
    <w:p>
      <w:pPr/>
      <w:r>
        <w:rPr>
          <w:rFonts w:ascii="Times New Roman" w:hAnsi="Times New Roman" w:eastAsia="Times New Roman" w:cs="Times New Roman"/>
          <w:i w:val="0"/>
          <w:sz w:val="28"/>
          <w:lang w:val="ru-RU" w:eastAsia="ru-RU" w:bidi="ru-RU"/>
          <w:color w:val="000000"/>
        </w:rPr>
        <w:t>До появления плат выполнен воспроизводимый SIL-этап: сформирован ансамбль из 256 допустимых вариантов неопределённых параметров, проверены V/f и матрица защит, настроен encoder-observer FOC, исследован независимый sensorless-наблюдатель и проведено парное сравнение стратегий управления на 600 отложенных режимах. Эти результаты уточняют научную гипотезу и сокращают объём будущей отладки, но не заменяют идентификацию параметров и аппаратный эксперимент.</w:t>
      </w:r>
    </w:p>
    <w:p>
      <w:pPr/>
      <w:r>
        <w:rPr>
          <w:rFonts w:ascii="Times New Roman" w:hAnsi="Times New Roman" w:eastAsia="Times New Roman" w:cs="Times New Roman"/>
          <w:i w:val="0"/>
          <w:sz w:val="28"/>
          <w:lang w:val="ru-RU" w:eastAsia="ru-RU" w:bidi="ru-RU"/>
          <w:color w:val="000000"/>
        </w:rPr>
        <w:t>Структура и оформление рабочей редакции приняты с учётом ГОСТ Р 7.0.11-2011 [2], действующего порядка присуждения учёных степеней [3], регламента диссертационного совета ПГУПС [4] и доступного примера защищённой диссертации по тематике подвижного состава [5]. Служебная страница статуса сохраняется только в рабочей редакции и перед официальной подачей удаляется.</w:t>
      </w:r>
    </w:p>
    <w:p>
      <w:pPr/>
      <w:r>
        <w:rPr>
          <w:rFonts w:ascii="Times New Roman" w:hAnsi="Times New Roman" w:eastAsia="Times New Roman" w:cs="Times New Roman"/>
          <w:b/>
          <w:sz w:val="28"/>
          <w:lang w:val="ru-RU" w:eastAsia="ru-RU" w:bidi="ru-RU"/>
          <w:color w:val="000000"/>
        </w:rPr>
        <w:t>Цель работы</w:t>
      </w:r>
      <w:r>
        <w:rPr>
          <w:rFonts w:ascii="Times New Roman" w:hAnsi="Times New Roman" w:eastAsia="Times New Roman" w:cs="Times New Roman"/>
          <w:i w:val="0"/>
          <w:sz w:val="28"/>
          <w:lang w:val="ru-RU" w:eastAsia="ru-RU" w:bidi="ru-RU"/>
          <w:color w:val="000000"/>
        </w:rPr>
        <w:t xml:space="preserve"> — разработать и экспериментально проверить метод ограниченной адаптации векторного управления, обеспечивающий статистически подтверждённое снижение удельных энергозатрат относительно настроенного FOC-SVPWM при неухудшении заданных показателей динамики и безопасности в установленном множестве параметрических и режимных возмущений.</w:t>
      </w:r>
    </w:p>
    <w:p>
      <w:pPr/>
      <w:r>
        <w:rPr>
          <w:rFonts w:ascii="Times New Roman" w:hAnsi="Times New Roman" w:eastAsia="Times New Roman" w:cs="Times New Roman"/>
          <w:i w:val="0"/>
          <w:sz w:val="28"/>
          <w:lang w:val="ru-RU" w:eastAsia="ru-RU" w:bidi="ru-RU"/>
          <w:color w:val="000000"/>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выполнить анализ методов управления асинхронным тяговым электроприводом и определить границы применения скалярного, векторного и интеллектуального управления;</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разработать математическую модель асинхронного двигателя, преобразователя и измерительного тракта, пригодную для идентификации и сравнительного моделирования;</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подготовить воспроизводимую программную конфигурацию и проект подключения платформы на базе NUCLEO-G431RB, STEVAL-IPM15B, АИР56В2 и UNO Q;</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реализовать безопасный базовый режим V/f как исходную точку стендовой проверки;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5. разработать метод векторного управления и процедуру идентификации параметров целевого двигателя;</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6. разработать метод ограниченной адаптации параметров модели и регуляторов FOC с детерминированной проверкой допустимости каждой коррекции;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7. сформировать программу HIL- и стендовых испытаний, систему метрик и правила статистического сравнения;</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8. проверить программные контракты, воспроизводимость сборки и прослеживаемость результатов.</w:t>
      </w:r>
    </w:p>
    <w:p>
      <w:pPr/>
      <w:r>
        <w:rPr>
          <w:rFonts w:ascii="Times New Roman" w:hAnsi="Times New Roman" w:eastAsia="Times New Roman" w:cs="Times New Roman"/>
          <w:b/>
          <w:sz w:val="28"/>
          <w:lang w:val="ru-RU" w:eastAsia="ru-RU" w:bidi="ru-RU"/>
          <w:color w:val="000000"/>
        </w:rPr>
        <w:t>Объект исследования</w:t>
      </w:r>
      <w:r>
        <w:rPr>
          <w:rFonts w:ascii="Times New Roman" w:hAnsi="Times New Roman" w:eastAsia="Times New Roman" w:cs="Times New Roman"/>
          <w:i w:val="0"/>
          <w:sz w:val="28"/>
          <w:lang w:val="ru-RU" w:eastAsia="ru-RU" w:bidi="ru-RU"/>
          <w:color w:val="000000"/>
        </w:rPr>
        <w:t xml:space="preserve"> — процессы электромеханического преобразования энергии и управления в асинхронном тяговом электроприводе с автономным инвертором напряжения.</w:t>
      </w:r>
    </w:p>
    <w:p>
      <w:pPr/>
      <w:r>
        <w:rPr>
          <w:rFonts w:ascii="Times New Roman" w:hAnsi="Times New Roman" w:eastAsia="Times New Roman" w:cs="Times New Roman"/>
          <w:b/>
          <w:sz w:val="28"/>
          <w:lang w:val="ru-RU" w:eastAsia="ru-RU" w:bidi="ru-RU"/>
          <w:color w:val="000000"/>
        </w:rPr>
        <w:t>Предмет исследования</w:t>
      </w:r>
      <w:r>
        <w:rPr>
          <w:rFonts w:ascii="Times New Roman" w:hAnsi="Times New Roman" w:eastAsia="Times New Roman" w:cs="Times New Roman"/>
          <w:i w:val="0"/>
          <w:sz w:val="28"/>
          <w:lang w:val="ru-RU" w:eastAsia="ru-RU" w:bidi="ru-RU"/>
          <w:color w:val="000000"/>
        </w:rPr>
        <w:t xml:space="preserve"> — закономерности влияния параметрической неопределённости и ограниченной интеллектуальной адаптации модели и регуляторов FOC на энергетические, динамические и защитные показатели электропривода.</w:t>
      </w:r>
    </w:p>
    <w:p>
      <w:pPr/>
      <w:r>
        <w:rPr>
          <w:rFonts w:ascii="Times New Roman" w:hAnsi="Times New Roman" w:eastAsia="Times New Roman" w:cs="Times New Roman"/>
          <w:b/>
          <w:sz w:val="28"/>
          <w:lang w:val="ru-RU" w:eastAsia="ru-RU" w:bidi="ru-RU"/>
          <w:color w:val="000000"/>
        </w:rPr>
        <w:t>Методы исследования</w:t>
      </w:r>
      <w:r>
        <w:rPr>
          <w:rFonts w:ascii="Times New Roman" w:hAnsi="Times New Roman" w:eastAsia="Times New Roman" w:cs="Times New Roman"/>
          <w:i w:val="0"/>
          <w:sz w:val="28"/>
          <w:lang w:val="ru-RU" w:eastAsia="ru-RU" w:bidi="ru-RU"/>
          <w:color w:val="000000"/>
        </w:rPr>
        <w:t xml:space="preserve"> включают теорию электрических машин и электропривода, преобразования координат, теорию автоматического управления, численное моделирование, идентификацию параметров, анализ конечного множества состояний инвертора, методы машинного обучения, статическую проверку исходного кода и экспериментальный дизайн.</w:t>
      </w:r>
    </w:p>
    <w:p>
      <w:pPr/>
      <w:r>
        <w:rPr>
          <w:rFonts w:ascii="Times New Roman" w:hAnsi="Times New Roman" w:eastAsia="Times New Roman" w:cs="Times New Roman"/>
          <w:b/>
          <w:sz w:val="28"/>
          <w:lang w:val="ru-RU" w:eastAsia="ru-RU" w:bidi="ru-RU"/>
          <w:color w:val="000000"/>
        </w:rPr>
        <w:t>Научная гипотеза</w:t>
      </w:r>
      <w:r>
        <w:rPr>
          <w:rFonts w:ascii="Times New Roman" w:hAnsi="Times New Roman" w:eastAsia="Times New Roman" w:cs="Times New Roman"/>
          <w:i w:val="0"/>
          <w:sz w:val="28"/>
          <w:lang w:val="ru-RU" w:eastAsia="ru-RU" w:bidi="ru-RU"/>
          <w:color w:val="000000"/>
        </w:rPr>
        <w:t xml:space="preserve"> состоит в том, что энергетические и динамические показатели асинхронного привода могут быть улучшены без передачи обучаемому алгоритму неограниченного доступа к ключам инвертора, если разделить систему на детерминированный контур FOC, медленный адаптивный уровень и Safety Gateway, проектирующий каждое интеллектуальное действие на допустимое множество.</w:t>
      </w:r>
    </w:p>
    <w:p>
      <w:pPr/>
      <w:r>
        <w:rPr>
          <w:rFonts w:ascii="Times New Roman" w:hAnsi="Times New Roman" w:eastAsia="Times New Roman" w:cs="Times New Roman"/>
          <w:i w:val="0"/>
          <w:sz w:val="28"/>
          <w:lang w:val="ru-RU" w:eastAsia="ru-RU" w:bidi="ru-RU"/>
          <w:color w:val="000000"/>
        </w:rPr>
        <w:t>К проверяемым элементам научной новизны относятся: метод событийной ограниченной адаптации параметров модели и регуляторов FOC, отличающийся проекцией обновлений на физически допустимое множество и блокировкой адаптации при снижении достоверности идентификации; критерий допустимости интеллектуальной коррекции, совместно учитывающий ошибку регулирования, энергетические потери, коммутационную нагрузку и запас до ограничений; процедура доказательного сравнения адаптивного и базового управления при одинаковых режимах и ограничениях. Окончательные формулировки должны содержать численный эффект, доверительный интервал и область применимости.</w:t>
      </w:r>
    </w:p>
    <w:p>
      <w:pPr/>
      <w:r>
        <w:rPr>
          <w:rFonts w:ascii="Times New Roman" w:hAnsi="Times New Roman" w:eastAsia="Times New Roman" w:cs="Times New Roman"/>
          <w:b/>
          <w:sz w:val="28"/>
          <w:lang w:val="ru-RU" w:eastAsia="ru-RU" w:bidi="ru-RU"/>
          <w:color w:val="000000"/>
        </w:rPr>
        <w:t>Теоретическая значимость</w:t>
      </w:r>
      <w:r>
        <w:rPr>
          <w:rFonts w:ascii="Times New Roman" w:hAnsi="Times New Roman" w:eastAsia="Times New Roman" w:cs="Times New Roman"/>
          <w:i w:val="0"/>
          <w:sz w:val="28"/>
          <w:lang w:val="ru-RU" w:eastAsia="ru-RU" w:bidi="ru-RU"/>
          <w:color w:val="000000"/>
        </w:rPr>
        <w:t xml:space="preserve"> работы состоит в формализации условий включения ограниченного адаптивного уровня в детерминированную структуру FOC, определении допустимого множества изменяемых параметров и критериев перехода к базовому управлению при нарушении ограничений, выходе за область идентификации или превышении вычислительного времени.</w:t>
      </w:r>
    </w:p>
    <w:p>
      <w:pPr/>
      <w:r>
        <w:rPr>
          <w:rFonts w:ascii="Times New Roman" w:hAnsi="Times New Roman" w:eastAsia="Times New Roman" w:cs="Times New Roman"/>
          <w:b/>
          <w:sz w:val="28"/>
          <w:lang w:val="ru-RU" w:eastAsia="ru-RU" w:bidi="ru-RU"/>
          <w:color w:val="000000"/>
        </w:rPr>
        <w:t>Практическая значимость</w:t>
      </w:r>
      <w:r>
        <w:rPr>
          <w:rFonts w:ascii="Times New Roman" w:hAnsi="Times New Roman" w:eastAsia="Times New Roman" w:cs="Times New Roman"/>
          <w:i w:val="0"/>
          <w:sz w:val="28"/>
          <w:lang w:val="ru-RU" w:eastAsia="ru-RU" w:bidi="ru-RU"/>
          <w:color w:val="000000"/>
        </w:rPr>
        <w:t xml:space="preserve"> состоит в создании платформы, где версия протокола, профиль двигателя и хэши бинарных артефактов фиксируются совместно. Текущий SHA-256 однозначно идентифицирует готовый файл, но полная воспроизводимость происхождения потребует дополнительно хэшировать профиль, исходники, Git commit, версию компилятора и команду сборки. Такой подход снижает риск случайной прошивки неподходящего образа и позволяет постепенно переходить от V/f к FOC и интеллектуальному управлению.</w:t>
      </w:r>
    </w:p>
    <w:p>
      <w:pPr/>
      <w:r>
        <w:rPr>
          <w:rFonts w:ascii="Times New Roman" w:hAnsi="Times New Roman" w:eastAsia="Times New Roman" w:cs="Times New Roman"/>
          <w:i w:val="0"/>
          <w:sz w:val="28"/>
          <w:lang w:val="ru-RU" w:eastAsia="ru-RU" w:bidi="ru-RU"/>
          <w:color w:val="000000"/>
        </w:rPr>
        <w:t>Положения, подлежащие экспериментальной проверке, в рабочей редакции сформулированы как проверяемые утверждения; численные поля заполняются только после стендовой серии: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проекция событийного обновления на Θ сохраняет θk∈Θ при θ0∈Θ, а блокировка по информативности, доверию и времени выдержки предотвращает изменение оценки вне разрешённых условий; влияние на удельную энергию составляет [ΔE, CI95] в области [режимы];</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логически обособленная детерминированная проверка коррекции исключает её применение при нарушении токовых, напряженческих, тепловых и временных ограничений; полнота обнаружения составляет [результат fault-injection];</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прослеживаемая цепочка профиль—исходники—сборка—манифест—протокол обеспечивает воспроизводимость программной конфигурации с точностью до зафиксированных хэшей и версий;</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перенос лабораторного результата к тяговой задаче допустим только через модель (2.18)-(2.19), тяговый цикл и ограничения сцепления; численная применимость устанавливается для [серия подвижного состава, цикл].</w:t>
      </w:r>
    </w:p>
    <w:p>
      <w:pPr/>
      <w:r>
        <w:rPr>
          <w:rFonts w:ascii="Times New Roman" w:hAnsi="Times New Roman" w:eastAsia="Times New Roman" w:cs="Times New Roman"/>
          <w:i w:val="0"/>
          <w:sz w:val="28"/>
          <w:lang w:val="ru-RU" w:eastAsia="ru-RU" w:bidi="ru-RU"/>
          <w:color w:val="000000"/>
        </w:rPr>
        <w:t>Достоверность будущих выводов будет обеспечиваться использованием официальной документации компонентов, независимой проверкой программных контрактов, сопоставлением расчётной и измеренной модели, повторными опытами, доверительными интервалами, A/B-сравнением на одинаковых режимах и публикацией отрицательных результатов. На текущем этапе достоверно подтверждены только перечисленные в главе 5 программные проверки.</w:t>
      </w:r>
    </w:p>
    <w:p>
      <w:pPr/>
      <w:r>
        <w:rPr>
          <w:rFonts w:ascii="Times New Roman" w:hAnsi="Times New Roman" w:eastAsia="Times New Roman" w:cs="Times New Roman"/>
          <w:i w:val="0"/>
          <w:sz w:val="28"/>
          <w:lang w:val="ru-RU" w:eastAsia="ru-RU" w:bidi="ru-RU"/>
          <w:color w:val="000000"/>
        </w:rPr>
        <w:t>Апробация и публикации: [заполнить фактическими докладами, статьями из перечня ВАК, свидетельствами о регистрации программ и иными результатами после их появления].</w:t>
      </w:r>
    </w:p>
    <w:p>
      <w:pPr/>
      <w:r>
        <w:rPr>
          <w:rFonts w:ascii="Times New Roman" w:hAnsi="Times New Roman" w:eastAsia="Times New Roman" w:cs="Times New Roman"/>
          <w:i w:val="0"/>
          <w:sz w:val="28"/>
          <w:lang w:val="ru-RU" w:eastAsia="ru-RU" w:bidi="ru-RU"/>
          <w:color w:val="000000"/>
        </w:rPr>
        <w:t>Структура работы. Диссертация включает введение, пять глав, заключение, список литературы и приложения. В первой главе сформулирована научная задача; во второй приведены модели; в третьей описана программно-аппаратная платформа; в четвёртой предложен интеллектуальный метод; в пятой представлены подтверждённые программные результаты и программа эксперимента.</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1" name="Picture 1" title="Рисунок 1" descr="Рисунок 1 — Логика поэтапного развития исследуемой системы управления"/>
            <wp:cNvGraphicFramePr>
              <a:graphicFrameLocks noChangeAspect="1"/>
            </wp:cNvGraphicFramePr>
            <a:graphic>
              <a:graphicData uri="http://schemas.openxmlformats.org/drawingml/2006/picture">
                <pic:pic>
                  <pic:nvPicPr>
                    <pic:cNvPr id="0" name="fig01_roadmap.png"/>
                    <pic:cNvPicPr/>
                  </pic:nvPicPr>
                  <pic:blipFill>
                    <a:blip r:embed="rId10"/>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1 — Логика поэтапного развития исследуемой системы управления</w:t>
      </w:r>
    </w:p>
    <w:p>
      <w:pPr/>
      <w:r>
        <w:rPr>
          <w:rFonts w:ascii="Times New Roman" w:hAnsi="Times New Roman" w:eastAsia="Times New Roman" w:cs="Times New Roman"/>
          <w:i w:val="0"/>
          <w:sz w:val="28"/>
          <w:lang w:val="ru-RU" w:eastAsia="ru-RU" w:bidi="ru-RU"/>
          <w:color w:val="000000"/>
        </w:rPr>
        <w:t>Последовательность на рисунке 1 является обязательной логикой получения доказательств. Каждый следующий уровень наследует измеренные ограничения предыдущего: FOC вводится после безопасной проверки силового тракта в режиме V/f; интеллектуальная настройка проверяется относительно устойчивого FOC; интеллектуальное формирование ШИМ допускается только после подтверждения логически обособленного защитного шлюза и аппаратных защит. Поэтому незавершённый аппаратный этап не маскируется результатами компьютерного моделирования следующего уровня.</w:t>
      </w:r>
    </w:p>
    <w:p>
      <w:pPr/>
      <w:r>
        <w:rPr>
          <w:rFonts w:ascii="Times New Roman" w:hAnsi="Times New Roman" w:eastAsia="Times New Roman" w:cs="Times New Roman"/>
          <w:i w:val="0"/>
          <w:sz w:val="28"/>
          <w:lang w:val="ru-RU" w:eastAsia="ru-RU" w:bidi="ru-RU"/>
          <w:color w:val="000000"/>
        </w:rPr>
        <w:t>Рабочая редакция фиксирует исходное состояние исследования и одновременно задаёт проверяемую программу его завершения. После получения стенда расчётные разделы должны быть дополнены протоколами идентификации, осциллограммами, балансом погрешностей и статистикой повторных опытов. Такая организация позволяет обновлять выводы без изменения заранее заявленных критериев качества и исключает выбор метрик после ознакомления с результатом.</w:t>
      </w:r>
    </w:p>
    <w:p>
      <w:pPr>
        <w:pStyle w:val="Heading1"/>
      </w:pPr>
      <w:r>
        <w:rPr>
          <w:rFonts w:ascii="Times New Roman" w:hAnsi="Times New Roman" w:eastAsia="Times New Roman" w:cs="Times New Roman"/>
          <w:lang w:val="ru-RU" w:eastAsia="ru-RU" w:bidi="ru-RU"/>
          <w:color w:val="000000"/>
        </w:rPr>
        <w:t>1 АНАЛИЗ МЕТОДОВ УПРАВЛЕНИЯ АСИНХРОННЫМ ТЯГОВЫМ ЭЛЕКТРОПРИВОДОМ</w:t>
      </w:r>
    </w:p>
    <w:p>
      <w:pPr>
        <w:pStyle w:val="Heading2"/>
      </w:pPr>
      <w:r>
        <w:rPr>
          <w:rFonts w:ascii="Times New Roman" w:hAnsi="Times New Roman" w:eastAsia="Times New Roman" w:cs="Times New Roman"/>
          <w:lang w:val="ru-RU" w:eastAsia="ru-RU" w:bidi="ru-RU"/>
          <w:color w:val="000000"/>
        </w:rPr>
        <w:t>1.1 Требования тягового применения</w:t>
      </w:r>
    </w:p>
    <w:p>
      <w:pPr/>
      <w:r>
        <w:rPr>
          <w:rFonts w:ascii="Times New Roman" w:hAnsi="Times New Roman" w:eastAsia="Times New Roman" w:cs="Times New Roman"/>
          <w:i w:val="0"/>
          <w:sz w:val="28"/>
          <w:lang w:val="ru-RU" w:eastAsia="ru-RU" w:bidi="ru-RU"/>
          <w:color w:val="000000"/>
        </w:rPr>
        <w:t>Тяговый электропривод работает в широком диапазоне скоростей и нагрузок, включая пуск, ограничение сцепления, ослабление поля, выбег, электрическое торможение и воздействие возмущений со стороны контактной сети. Критерий качества не может ограничиваться ошибкой скорости: существенны удельное энергопотребление, потери в меди и стали, пульсации момента, температура полупроводников, число коммутаций, устойчивость к изменению сопротивлений и поведение при отказах датчиков.</w:t>
      </w:r>
    </w:p>
    <w:p>
      <w:pPr/>
      <w:r>
        <w:rPr>
          <w:rFonts w:ascii="Times New Roman" w:hAnsi="Times New Roman" w:eastAsia="Times New Roman" w:cs="Times New Roman"/>
          <w:i w:val="0"/>
          <w:sz w:val="28"/>
          <w:lang w:val="ru-RU" w:eastAsia="ru-RU" w:bidi="ru-RU"/>
          <w:color w:val="000000"/>
        </w:rPr>
        <w:t>Для железнодорожного подвижного состава отказ алгоритма управления может перейти в опасное состояние силовой части. Поэтому обучаемый компонент допустим только при наличии детерминированного ограничения тока, напряжения, температуры, dead-time и последовательности включения. Связь с верхним уровнем не должна быть единственным каналом аварийной остановки. Эти требования определяют архитектуру, в которой UNO Q задаёт ограниченные параметры, а STM32G431 выполняет жёсткий цикл управления и аппаратные защиты.</w:t>
      </w:r>
    </w:p>
    <w:p>
      <w:pPr/>
      <w:r>
        <w:rPr>
          <w:rFonts w:ascii="Times New Roman" w:hAnsi="Times New Roman" w:eastAsia="Times New Roman" w:cs="Times New Roman"/>
          <w:i w:val="0"/>
          <w:sz w:val="28"/>
          <w:lang w:val="ru-RU" w:eastAsia="ru-RU" w:bidi="ru-RU"/>
          <w:color w:val="000000"/>
        </w:rPr>
        <w:t>Лабораторная установка мощностью 0,25 кВт не воспроизводит электромагнитные, тепловые и механические постоянные тягового двигателя в абсолютных единицах. Научно корректное масштабирование должно использовать относительные величины: ток и поток в долях номинальных, электромагнитный момент в долях базового, частоту коммутации относительно электрической постоянной времени, а тепловую нагрузку относительно допустимого нагрева. Вывод о применимости к тяге требует дополнительной проверки на модели соответствующего класса мощности.</w:t>
      </w:r>
    </w:p>
    <w:p>
      <w:pPr/>
      <w:r>
        <w:rPr>
          <w:rFonts w:ascii="Times New Roman" w:hAnsi="Times New Roman" w:eastAsia="Times New Roman" w:cs="Times New Roman"/>
          <w:i w:val="0"/>
          <w:sz w:val="28"/>
          <w:lang w:val="ru-RU" w:eastAsia="ru-RU" w:bidi="ru-RU"/>
          <w:color w:val="000000"/>
        </w:rPr>
        <w:t>Группы показателей и способы их подтверждения сведены в таблицу 1.1.</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1.1 — Группы требований к системе управления</w:t>
      </w:r>
    </w:p>
    <w:tbl>
      <w:tblPr>
        <w:tblStyle w:val="TableGrid"/>
        <w:tblW w:type="dxa" w:w="9921"/>
        <w:tblLayout w:type="fixed"/>
        <w:tblLook w:firstColumn="1" w:firstRow="1" w:lastColumn="0" w:lastRow="0" w:noHBand="0" w:noVBand="1" w:val="04A0"/>
        <w:tblInd w:w="0" w:type="dxa"/>
      </w:tblPr>
      <w:tblGrid>
        <w:gridCol w:w="1750"/>
        <w:gridCol w:w="4323"/>
        <w:gridCol w:w="3848"/>
      </w:tblGrid>
      <w:tr>
        <w:trPr>
          <w:tblHeader w:val="true"/>
          <w:cantSplit/>
        </w:trPr>
        <w:tc>
          <w:tcPr>
            <w:tcW w:type="dxa" w:w="1750"/>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Группа</w:t>
            </w:r>
          </w:p>
        </w:tc>
        <w:tc>
          <w:tcPr>
            <w:tcW w:type="dxa" w:w="432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Контролируемые показатели</w:t>
            </w:r>
          </w:p>
        </w:tc>
        <w:tc>
          <w:tcPr>
            <w:tcW w:type="dxa" w:w="3848"/>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Средство подтверждения</w:t>
            </w:r>
          </w:p>
        </w:tc>
      </w:tr>
      <w:tr>
        <w:trPr>
          <w:cantSplit/>
        </w:trPr>
        <w:tc>
          <w:tcPr>
            <w:tcW w:type="dxa" w:w="1750"/>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Энергетика</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КПД, потери, Udc, ток</w:t>
            </w:r>
          </w:p>
        </w:tc>
        <w:tc>
          <w:tcPr>
            <w:tcW w:type="dxa" w:w="384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Баланс мощности, анализатор</w:t>
            </w:r>
          </w:p>
        </w:tc>
      </w:tr>
      <w:tr>
        <w:trPr>
          <w:cantSplit/>
        </w:trPr>
        <w:tc>
          <w:tcPr>
            <w:tcW w:type="dxa" w:w="1750"/>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Динамика</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Ошибка скорости, момент, время перехода</w:t>
            </w:r>
          </w:p>
        </w:tc>
        <w:tc>
          <w:tcPr>
            <w:tcW w:type="dxa" w:w="384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Осциллограммы и идентичные задания</w:t>
            </w:r>
          </w:p>
        </w:tc>
      </w:tr>
      <w:tr>
        <w:trPr>
          <w:cantSplit/>
        </w:trPr>
        <w:tc>
          <w:tcPr>
            <w:tcW w:type="dxa" w:w="1750"/>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Качество тока</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RMS, спектр, THD</w:t>
            </w:r>
          </w:p>
        </w:tc>
        <w:tc>
          <w:tcPr>
            <w:tcW w:type="dxa" w:w="384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Синхронная выборка токов</w:t>
            </w:r>
          </w:p>
        </w:tc>
      </w:tr>
      <w:tr>
        <w:trPr>
          <w:cantSplit/>
        </w:trPr>
        <w:tc>
          <w:tcPr>
            <w:tcW w:type="dxa" w:w="1750"/>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Безопасность</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OCP, break, E-stop, watchdog</w:t>
            </w:r>
          </w:p>
        </w:tc>
        <w:tc>
          <w:tcPr>
            <w:tcW w:type="dxa" w:w="384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Fault injection, HIL</w:t>
            </w:r>
          </w:p>
        </w:tc>
      </w:tr>
      <w:tr>
        <w:trPr>
          <w:cantSplit/>
        </w:trPr>
        <w:tc>
          <w:tcPr>
            <w:tcW w:type="dxa" w:w="1750"/>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Воспроизводимость</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Версии, хэши, профиль</w:t>
            </w:r>
          </w:p>
        </w:tc>
        <w:tc>
          <w:tcPr>
            <w:tcW w:type="dxa" w:w="384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Автоматизированная сборка</w:t>
            </w:r>
          </w:p>
        </w:tc>
      </w:tr>
    </w:tbl>
    <w:p>
      <w:pPr>
        <w:pStyle w:val="Heading2"/>
      </w:pPr>
      <w:r>
        <w:rPr>
          <w:rFonts w:ascii="Times New Roman" w:hAnsi="Times New Roman" w:eastAsia="Times New Roman" w:cs="Times New Roman"/>
          <w:lang w:val="ru-RU" w:eastAsia="ru-RU" w:bidi="ru-RU"/>
          <w:color w:val="000000"/>
        </w:rPr>
        <w:t>1.2 Скалярное управление V/f</w:t>
      </w:r>
    </w:p>
    <w:p>
      <w:pPr/>
      <w:r>
        <w:rPr>
          <w:rFonts w:ascii="Times New Roman" w:hAnsi="Times New Roman" w:eastAsia="Times New Roman" w:cs="Times New Roman"/>
          <w:i w:val="0"/>
          <w:sz w:val="28"/>
          <w:lang w:val="ru-RU" w:eastAsia="ru-RU" w:bidi="ru-RU"/>
          <w:color w:val="000000"/>
        </w:rPr>
        <w:t>Скалярный закон V/f поддерживает приблизительное постоянство магнитного потока за счёт пропорционального изменения амплитуды основной гармоники напряжения при изменении частоты. Его достоинствами являются простота, малое число требуемых параметров и удобство первичного запуска. Именно поэтому V/f выбран первым этапом: он позволяет проверить фазировку, направления, защиту, связь и силовой тракт до ввода чувствительной к параметрам модели FOC.</w:t>
      </w:r>
    </w:p>
    <w:p>
      <w:pPr/>
      <w:r>
        <w:rPr>
          <w:rFonts w:ascii="Times New Roman" w:hAnsi="Times New Roman" w:eastAsia="Times New Roman" w:cs="Times New Roman"/>
          <w:i w:val="0"/>
          <w:sz w:val="28"/>
          <w:lang w:val="ru-RU" w:eastAsia="ru-RU" w:bidi="ru-RU"/>
          <w:color w:val="000000"/>
        </w:rPr>
        <w:t>Недостатки V/f проявляются при низкой скорости, резком изменении нагрузки и необходимости регулировать момент. Падение напряжения на сопротивлении статора и инверторе нарушает пропорциональность потока, поэтому вводится низкочастотная добавка Uboost. Без обратной связи скольжение определяется нагрузкой и температура ротора влияет на рабочую точку. Следовательно, V/f является базовой линией сравнения, но не конечным способом высокодинамичного тягового управления.</w:t>
      </w:r>
    </w:p>
    <w:p>
      <w:pPr/>
      <w:r>
        <w:rPr>
          <w:rFonts w:ascii="Times New Roman" w:hAnsi="Times New Roman" w:eastAsia="Times New Roman" w:cs="Times New Roman"/>
          <w:i w:val="0"/>
          <w:sz w:val="28"/>
          <w:lang w:val="ru-RU" w:eastAsia="ru-RU" w:bidi="ru-RU"/>
          <w:color w:val="000000"/>
        </w:rPr>
        <w:t>В текущем проекте команда START задаёт частоту статора в диапазоне 0 &lt; f ≤ 50 Гц. Нулевая частота реализуется командами STOP/OFF и не является допустимым заданием запуска. Поле амплитуды в UART-кадре сохранено для совместимости, но Nucleo его игнорирует: профиль V/f формируется средствами MCSDK. Это исключает возможность обхода паспорта двигателя произвольным коэффициентом, поступившим с верхнего уровня.</w:t>
      </w:r>
    </w:p>
    <w:p>
      <w:pPr>
        <w:pStyle w:val="Heading2"/>
      </w:pPr>
      <w:r>
        <w:rPr>
          <w:rFonts w:ascii="Times New Roman" w:hAnsi="Times New Roman" w:eastAsia="Times New Roman" w:cs="Times New Roman"/>
          <w:lang w:val="ru-RU" w:eastAsia="ru-RU" w:bidi="ru-RU"/>
          <w:color w:val="000000"/>
        </w:rPr>
        <w:t>1.3 Векторное управление и идентификация</w:t>
      </w:r>
    </w:p>
    <w:p>
      <w:pPr/>
      <w:r>
        <w:rPr>
          <w:rFonts w:ascii="Times New Roman" w:hAnsi="Times New Roman" w:eastAsia="Times New Roman" w:cs="Times New Roman"/>
          <w:i w:val="0"/>
          <w:sz w:val="28"/>
          <w:lang w:val="ru-RU" w:eastAsia="ru-RU" w:bidi="ru-RU"/>
          <w:color w:val="000000"/>
        </w:rPr>
        <w:t>Векторное управление преобразует измеренные фазные токи в систему координат, связанную с оцененным потокосцеплением. Компонента тока по оси d регулирует поток, а компонента по оси q — электромагнитный момент. При корректной ориентации достигается приближённое развязывание каналов, аналогичное независимому управлению возбуждением и моментом машины постоянного тока [7-10].</w:t>
      </w:r>
    </w:p>
    <w:p>
      <w:pPr/>
      <w:r>
        <w:rPr>
          <w:rFonts w:ascii="Times New Roman" w:hAnsi="Times New Roman" w:eastAsia="Times New Roman" w:cs="Times New Roman"/>
          <w:i w:val="0"/>
          <w:sz w:val="28"/>
          <w:lang w:val="ru-RU" w:eastAsia="ru-RU" w:bidi="ru-RU"/>
          <w:color w:val="000000"/>
        </w:rPr>
        <w:t>Качество FOC зависит от сопротивлений статора и ротора, взаимной и рассеяющих индуктивностей, параметров датчиков и задержек вычисления. Сопротивление ротора заметно меняется при нагреве, а неточная взаимная индуктивность искажает оценку потока. Для предварительной V/f-конфигурации принятых каталожных данных достаточно, но для FOC их недостаточно. Параметры Rs, Rr, Lls, Llr, Lm и момент инерции должны быть измерены и помещены в версионируемый профиль.</w:t>
      </w:r>
    </w:p>
    <w:p>
      <w:pPr/>
      <w:r>
        <w:rPr>
          <w:rFonts w:ascii="Times New Roman" w:hAnsi="Times New Roman" w:eastAsia="Times New Roman" w:cs="Times New Roman"/>
          <w:i w:val="0"/>
          <w:sz w:val="28"/>
          <w:lang w:val="ru-RU" w:eastAsia="ru-RU" w:bidi="ru-RU"/>
          <w:color w:val="000000"/>
        </w:rPr>
        <w:t>Идентификация должна выполняться до высоковольтного пуска или в безопасной процедуре с ограниченным напряжением и током. Результат следует проверять не только по совпадению одного переходного процесса, но и на нескольких частотах и уровнях нагрузки. Неопределённость параметров становится входом для последующей интеллектуальной адаптации, а не скрывается подбором коэффициентов.</w:t>
      </w:r>
    </w:p>
    <w:p>
      <w:pPr>
        <w:pStyle w:val="Heading2"/>
      </w:pPr>
      <w:r>
        <w:rPr>
          <w:rFonts w:ascii="Times New Roman" w:hAnsi="Times New Roman" w:eastAsia="Times New Roman" w:cs="Times New Roman"/>
          <w:lang w:val="ru-RU" w:eastAsia="ru-RU" w:bidi="ru-RU"/>
          <w:color w:val="000000"/>
        </w:rPr>
        <w:t>1.4 Интеллектуальные методы и требования к доказательству</w:t>
      </w:r>
    </w:p>
    <w:p>
      <w:pPr/>
      <w:r>
        <w:rPr>
          <w:rFonts w:ascii="Times New Roman" w:hAnsi="Times New Roman" w:eastAsia="Times New Roman" w:cs="Times New Roman"/>
          <w:i w:val="0"/>
          <w:sz w:val="28"/>
          <w:lang w:val="ru-RU" w:eastAsia="ru-RU" w:bidi="ru-RU"/>
          <w:color w:val="000000"/>
        </w:rPr>
        <w:t>Нейросетевые и адаптивные методы применяются для оценивания скорости, идентификации параметров, настройки регуляторов и непосредственного выбора управляющего воздействия [13-17]. Их потенциальное преимущество связано со способностью аппроксимировать нелинейные зависимости и учитывать контекст режима. Одновременно возникают риски поведения вне обучающей выборки, вычислительной недетерминированности и отсутствия физической интерпретируемости.</w:t>
      </w:r>
    </w:p>
    <w:p>
      <w:pPr/>
      <w:r>
        <w:rPr>
          <w:rFonts w:ascii="Times New Roman" w:hAnsi="Times New Roman" w:eastAsia="Times New Roman" w:cs="Times New Roman"/>
          <w:i w:val="0"/>
          <w:sz w:val="28"/>
          <w:lang w:val="ru-RU" w:eastAsia="ru-RU" w:bidi="ru-RU"/>
          <w:color w:val="000000"/>
        </w:rPr>
        <w:t>Научное сравнение должно включать сильные классические базовые алгоритмы: настроенный FOC-SVPWM, DTC, DTC-SVM, одношаговый FCS-MPC и регулятор тока конечного времени. Сравнение с заведомо слабой реализацией не подтверждает новизну. Для каждого алгоритма фиксируются ограничения тока и напряжения, частота дискретизации, вычислительный бюджет и процедура настройки.</w:t>
      </w:r>
    </w:p>
    <w:p>
      <w:pPr/>
      <w:r>
        <w:rPr>
          <w:rFonts w:ascii="Times New Roman" w:hAnsi="Times New Roman" w:eastAsia="Times New Roman" w:cs="Times New Roman"/>
          <w:i w:val="0"/>
          <w:sz w:val="28"/>
          <w:lang w:val="ru-RU" w:eastAsia="ru-RU" w:bidi="ru-RU"/>
          <w:color w:val="000000"/>
        </w:rPr>
        <w:t>В проекте имеется архивный host-прототип Safe Neural Horizon PWM. Он объединяет модельный прогноз, нейросетевую коррекцию стоимости, конечный поиск векторов и защитный шлюз. Прототип прошёл программную матрицу из 31 сценария, но не переносился на MCU, HIL или физический стенд. Поэтому его данные используются для формирования гипотез и программы исследования, а не как доказательство превосходства.</w:t>
      </w:r>
    </w:p>
    <w:p>
      <w:pPr/>
      <w:r>
        <w:rPr>
          <w:rFonts w:ascii="Times New Roman" w:hAnsi="Times New Roman" w:eastAsia="Times New Roman" w:cs="Times New Roman"/>
          <w:i w:val="0"/>
          <w:sz w:val="28"/>
          <w:lang w:val="ru-RU" w:eastAsia="ru-RU" w:bidi="ru-RU"/>
          <w:color w:val="000000"/>
        </w:rPr>
        <w:t>Сопоставление основных групп методов, доступных доказательств и ограничений приведено в таблице 1.2. Оно показывает, что исследовательский разрыв связан не с отсутствием ещё одного регулятора, а с недостатком прослеживаемых ограничений, тяговых сценариев и статистически доказанного выигрыша адаптации.</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1.2 — Критический обзор методов управления и адаптации</w:t>
      </w:r>
    </w:p>
    <w:tbl>
      <w:tblPr>
        <w:tblStyle w:val="TableGrid"/>
        <w:tblW w:type="dxa" w:w="9921"/>
        <w:tblLayout w:type="fixed"/>
        <w:tblLook w:firstColumn="1" w:firstRow="1" w:lastColumn="0" w:lastRow="0" w:noHBand="0" w:noVBand="1" w:val="04A0"/>
        <w:tblInd w:w="0" w:type="dxa"/>
      </w:tblPr>
      <w:tblGrid>
        <w:gridCol w:w="2265"/>
        <w:gridCol w:w="3603"/>
        <w:gridCol w:w="4053"/>
      </w:tblGrid>
      <w:tr>
        <w:trPr>
          <w:tblHeader w:val="true"/>
          <w:cantSplit/>
        </w:trPr>
        <w:tc>
          <w:tcPr>
            <w:tcW w:type="dxa" w:w="226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Подход</w:t>
            </w:r>
          </w:p>
        </w:tc>
        <w:tc>
          <w:tcPr>
            <w:tcW w:type="dxa" w:w="360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Подтверждённые достоинства</w:t>
            </w:r>
          </w:p>
        </w:tc>
        <w:tc>
          <w:tcPr>
            <w:tcW w:type="dxa" w:w="405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Ограничение для настоящей работы</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V/f [6, 7]</w:t>
            </w:r>
          </w:p>
        </w:tc>
        <w:tc>
          <w:tcPr>
            <w:tcW w:type="dxa" w:w="360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Простота, малая параметрическая чувствительность</w:t>
            </w:r>
          </w:p>
        </w:tc>
        <w:tc>
          <w:tcPr>
            <w:tcW w:type="dxa" w:w="405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Низкая точность момента и низкоскоростных режимов</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FOC [8-11]</w:t>
            </w:r>
          </w:p>
        </w:tc>
        <w:tc>
          <w:tcPr>
            <w:tcW w:type="dxa" w:w="360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Раздельное управление потоком и моментом</w:t>
            </w:r>
          </w:p>
        </w:tc>
        <w:tc>
          <w:tcPr>
            <w:tcW w:type="dxa" w:w="405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Зависимость от Rs, Rr, Lm и оценки состояния</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DTC, FCS-MPC [12]</w:t>
            </w:r>
          </w:p>
        </w:tc>
        <w:tc>
          <w:tcPr>
            <w:tcW w:type="dxa" w:w="360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Быстрый отклик и явный выбор состояния</w:t>
            </w:r>
          </w:p>
        </w:tc>
        <w:tc>
          <w:tcPr>
            <w:tcW w:type="dxa" w:w="405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Пульсации, вычислительная стоимость, настройка стоимости</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Нейросетевая идентификация [13, 14, 16, 17]</w:t>
            </w:r>
          </w:p>
        </w:tc>
        <w:tc>
          <w:tcPr>
            <w:tcW w:type="dxa" w:w="360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Аппроксимация нелинейностей и дрейфа</w:t>
            </w:r>
          </w:p>
        </w:tc>
        <w:tc>
          <w:tcPr>
            <w:tcW w:type="dxa" w:w="405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OOD-риск и недостаток детерминированных ограничений</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Архивный SNH-PWM</w:t>
            </w:r>
          </w:p>
        </w:tc>
        <w:tc>
          <w:tcPr>
            <w:tcW w:type="dxa" w:w="360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Воспроизводимый host-прототип и fault-сценарии</w:t>
            </w:r>
          </w:p>
        </w:tc>
        <w:tc>
          <w:tcPr>
            <w:tcW w:type="dxa" w:w="405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Нет MCU, HIL и физической верификации</w:t>
            </w:r>
          </w:p>
        </w:tc>
      </w:tr>
    </w:tbl>
    <w:p>
      <w:pPr>
        <w:pStyle w:val="Heading2"/>
      </w:pPr>
      <w:r>
        <w:rPr>
          <w:rFonts w:ascii="Times New Roman" w:hAnsi="Times New Roman" w:eastAsia="Times New Roman" w:cs="Times New Roman"/>
          <w:lang w:val="ru-RU" w:eastAsia="ru-RU" w:bidi="ru-RU"/>
          <w:color w:val="000000"/>
        </w:rPr>
        <w:t>1.5 Постановка научной задачи</w:t>
      </w:r>
    </w:p>
    <w:p>
      <w:pPr/>
      <w:r>
        <w:rPr>
          <w:rFonts w:ascii="Times New Roman" w:hAnsi="Times New Roman" w:eastAsia="Times New Roman" w:cs="Times New Roman"/>
          <w:i w:val="0"/>
          <w:sz w:val="28"/>
          <w:lang w:val="ru-RU" w:eastAsia="ru-RU" w:bidi="ru-RU"/>
          <w:color w:val="000000"/>
        </w:rPr>
        <w:t>Требуется разработать и экспериментально проверить метод, который сохраняет детерминированную основу FOC, допускает адаптацию к нагреву и неопределённости параметров и обеспечивает статистически подтверждаемое снижение удельных энергозатрат при неухудшении заданных показателей динамики и безопасности в установленном множестве возмущений. Интеллектуальный уровень не должен формировать необработанные сигналы ключей, пока действие не прошло детерминированную проверку допустимости.</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min J = wₑEloss + wₙeₙ² + wᵢ||eᵢ||² + wₜrₜ + wₛwNₛw + wₛPₛ</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(1.1)</w:t>
            </w:r>
          </w:p>
        </w:tc>
      </w:tr>
    </w:tbl>
    <w:p>
      <w:pPr/>
      <w:r>
        <w:rPr>
          <w:rFonts w:ascii="Times New Roman" w:hAnsi="Times New Roman" w:eastAsia="Times New Roman" w:cs="Times New Roman"/>
          <w:i w:val="0"/>
          <w:sz w:val="28"/>
          <w:lang w:val="ru-RU" w:eastAsia="ru-RU" w:bidi="ru-RU"/>
          <w:color w:val="000000"/>
        </w:rPr>
        <w:t>Здесь Eloss — энергия потерь или её заранее определённый измеримый прокси, eₙ — ошибка скорости, eᵢ — ошибка токов, rₜ — показатель пульсации момента, Nₛw — число переключений, Pₛ — штраф за приближение к ограничениям. Робастность определяется как сохранение ограничений и допустимого качества во всём заданном множестве вариаций Rs, Rr, Lm, нагрузки, Udc и измерительных ошибок. Весовые коэффициенты и множество возмущений фиксируются до испытаний.</w:t>
      </w:r>
    </w:p>
    <w:p>
      <w:pPr>
        <w:pStyle w:val="Heading2"/>
      </w:pPr>
      <w:r>
        <w:rPr>
          <w:rFonts w:ascii="Times New Roman" w:hAnsi="Times New Roman" w:eastAsia="Times New Roman" w:cs="Times New Roman"/>
          <w:lang w:val="ru-RU" w:eastAsia="ru-RU" w:bidi="ru-RU"/>
          <w:color w:val="000000"/>
        </w:rPr>
        <w:t>1.6 Выводы по главе 1</w:t>
      </w:r>
    </w:p>
    <w:p>
      <w:pPr/>
      <w:r>
        <w:rPr>
          <w:rFonts w:ascii="Times New Roman" w:hAnsi="Times New Roman" w:eastAsia="Times New Roman" w:cs="Times New Roman"/>
          <w:i w:val="0"/>
          <w:sz w:val="28"/>
          <w:lang w:val="ru-RU" w:eastAsia="ru-RU" w:bidi="ru-RU"/>
          <w:color w:val="000000"/>
        </w:rPr>
        <w:t>Выполненный анализ позволяет сформулировать следующие результаты первой главы:</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скалярный режим V/f принят как обязательная базовая линия, обеспечивающая проверку фазировки, измерительных каналов и защит при минимальном числе неизвестных параметров;</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векторное управление выбрано детерминированной основой перспективной системы, поскольку оно разделяет управление потокосцеплением и моментом и допускает формальное ограничение внутренних контуров;</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применение ИИ обосновано для медленной адаптации параметров и ограниченного выбора управляющего действия, а не для бесконтрольной замены быстрого контура;</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сравнение должно выполняться со специально настроенными FOC-SVPWM, DTC и FCS-MPC при одинаковых ограничениях и вычислительном бюджете;</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5. научная задача состоит в совместном уменьшении ошибки регулирования, потерь и коммутационной нагрузки при доказуемом сохранении безопасного состояния.</w:t>
      </w:r>
    </w:p>
    <w:p>
      <w:pPr>
        <w:pStyle w:val="Heading1"/>
      </w:pPr>
      <w:r>
        <w:rPr>
          <w:rFonts w:ascii="Times New Roman" w:hAnsi="Times New Roman" w:eastAsia="Times New Roman" w:cs="Times New Roman"/>
          <w:lang w:val="ru-RU" w:eastAsia="ru-RU" w:bidi="ru-RU"/>
          <w:color w:val="000000"/>
        </w:rPr>
        <w:t>2 МАТЕМАТИЧЕСКИЕ МОДЕЛИ И КРИТЕРИИ КАЧЕСТВА</w:t>
      </w:r>
    </w:p>
    <w:p>
      <w:pPr>
        <w:pStyle w:val="Heading2"/>
      </w:pPr>
      <w:r>
        <w:rPr>
          <w:rFonts w:ascii="Times New Roman" w:hAnsi="Times New Roman" w:eastAsia="Times New Roman" w:cs="Times New Roman"/>
          <w:lang w:val="ru-RU" w:eastAsia="ru-RU" w:bidi="ru-RU"/>
          <w:color w:val="000000"/>
        </w:rPr>
        <w:t>2.1 Каталожный профиль и расчётная модель двигателя АИР56В2</w:t>
      </w:r>
    </w:p>
    <w:p>
      <w:pPr/>
      <w:r>
        <w:rPr>
          <w:rFonts w:ascii="Times New Roman" w:hAnsi="Times New Roman" w:eastAsia="Times New Roman" w:cs="Times New Roman"/>
          <w:i w:val="0"/>
          <w:sz w:val="28"/>
          <w:lang w:val="ru-RU" w:eastAsia="ru-RU" w:bidi="ru-RU"/>
          <w:color w:val="000000"/>
        </w:rPr>
        <w:t>Для целевого двигателя IEK АИР56В2 в каталожном профиле приняты номинальная мощность 0,25 кВт, напряжение 220/380 В при соединении Δ/Y, ток 1,24/0,72 А, частота 50 Гц и скорость 2720 об/мин. Оператор подтвердил соответствие этих данных выбранному исполнению, однако фотография шильдика конкретного экземпляра и её хэш в пакет доказательств пока не включены. Для стенда с линейным напряжением инвертора 220 В обмотки соединяются треугольником. Внутренняя трёхфазная модель MCSDK использует эквивалентное фазное напряжение 220/√3=127,017 В. Это математическое представление не означает физическое переключение двигателя в звезду.</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Uph,eq = Uline / √3 = 220 / √3 = 127,017 В</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w:t>
            </w:r>
          </w:p>
        </w:tc>
      </w:tr>
    </w:tbl>
    <w:p>
      <w:pPr/>
      <w:r>
        <w:rPr>
          <w:rFonts w:ascii="Times New Roman" w:hAnsi="Times New Roman" w:eastAsia="Times New Roman" w:cs="Times New Roman"/>
          <w:i w:val="0"/>
          <w:sz w:val="28"/>
          <w:lang w:val="ru-RU" w:eastAsia="ru-RU" w:bidi="ru-RU"/>
          <w:color w:val="000000"/>
        </w:rPr>
        <w:t>Для одной пары полюсов синхронная скорость при 50 Гц равна 3000 об/мин, а номинальное скольжение составляет (3000-2720)/3000=0,0933. Значение согласуется с двухполюсным исполнением двигателя и используется для проверки ошибок конфигурации.</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nₛ = 60f₁/p;    s = (nₛ - n)/nₛ</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(2.2)</w:t>
            </w:r>
          </w:p>
        </w:tc>
      </w:tr>
    </w:tbl>
    <w:p>
      <w:pPr/>
      <w:r>
        <w:rPr>
          <w:rFonts w:ascii="Times New Roman" w:hAnsi="Times New Roman" w:eastAsia="Times New Roman" w:cs="Times New Roman"/>
          <w:i w:val="0"/>
          <w:sz w:val="28"/>
          <w:lang w:val="ru-RU" w:eastAsia="ru-RU" w:bidi="ru-RU"/>
          <w:color w:val="000000"/>
        </w:rPr>
        <w:t>Каталожные и расчётные величины сведены в таблицу 2.1, а положение номинальной точки относительно синхронной скорости показано на рисунке 2.1. Полный машинно-читаемый профиль приведён в приложении А.</w:t>
      </w:r>
    </w:p>
    <w:p>
      <w:pPr>
        <w:keepNext/>
        <w:pageBreakBefore/>
        <w:spacing w:before="180" w:after="60"/>
        <w:ind w:firstLine="0"/>
      </w:pPr>
      <w:r>
        <w:rPr>
          <w:rFonts w:ascii="Times New Roman" w:hAnsi="Times New Roman" w:eastAsia="Times New Roman" w:cs="Times New Roman"/>
          <w:sz w:val="24"/>
          <w:lang w:val="ru-RU" w:eastAsia="ru-RU" w:bidi="ru-RU"/>
          <w:color w:val="000000"/>
        </w:rPr>
        <w:t>Таблица 2.1 — Каталожные и расчётные параметры АИР56В2</w:t>
      </w:r>
    </w:p>
    <w:tbl>
      <w:tblPr>
        <w:tblStyle w:val="TableGrid"/>
        <w:tblW w:type="dxa" w:w="9921"/>
        <w:tblLayout w:type="fixed"/>
        <w:tblLook w:firstColumn="1" w:firstRow="1" w:lastColumn="0" w:lastRow="0" w:noHBand="0" w:noVBand="1" w:val="04A0"/>
        <w:tblInd w:w="0" w:type="dxa"/>
      </w:tblPr>
      <w:tblGrid>
        <w:gridCol w:w="3706"/>
        <w:gridCol w:w="2265"/>
        <w:gridCol w:w="3950"/>
      </w:tblGrid>
      <w:tr>
        <w:trPr>
          <w:tblHeader w:val="true"/>
          <w:cantSplit/>
        </w:trPr>
        <w:tc>
          <w:tcPr>
            <w:tcW w:type="dxa" w:w="370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Параметр</w:t>
            </w:r>
          </w:p>
        </w:tc>
        <w:tc>
          <w:tcPr>
            <w:tcW w:type="dxa" w:w="226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Значение</w:t>
            </w:r>
          </w:p>
        </w:tc>
        <w:tc>
          <w:tcPr>
            <w:tcW w:type="dxa" w:w="3950"/>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Статус</w:t>
            </w:r>
          </w:p>
        </w:tc>
      </w:tr>
      <w:tr>
        <w:trPr>
          <w:cantSplit/>
        </w:trPr>
        <w:tc>
          <w:tcPr>
            <w:tcW w:type="dxa" w:w="370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Мощность Pn</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250 Вт</w:t>
            </w:r>
          </w:p>
        </w:tc>
        <w:tc>
          <w:tcPr>
            <w:tcW w:type="dxa" w:w="39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Каталог; фото экземпляра не приложено</w:t>
            </w:r>
          </w:p>
        </w:tc>
      </w:tr>
      <w:tr>
        <w:trPr>
          <w:cantSplit/>
        </w:trPr>
        <w:tc>
          <w:tcPr>
            <w:tcW w:type="dxa" w:w="370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Напряжение Δ/Y</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220/380 В</w:t>
            </w:r>
          </w:p>
        </w:tc>
        <w:tc>
          <w:tcPr>
            <w:tcW w:type="dxa" w:w="39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Каталог; подтверждено оператором</w:t>
            </w:r>
          </w:p>
        </w:tc>
      </w:tr>
      <w:tr>
        <w:trPr>
          <w:cantSplit/>
        </w:trPr>
        <w:tc>
          <w:tcPr>
            <w:tcW w:type="dxa" w:w="370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Ток Δ/Y</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1,24/0,72 А</w:t>
            </w:r>
          </w:p>
        </w:tc>
        <w:tc>
          <w:tcPr>
            <w:tcW w:type="dxa" w:w="39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Каталог; подтверждено оператором</w:t>
            </w:r>
          </w:p>
        </w:tc>
      </w:tr>
      <w:tr>
        <w:trPr>
          <w:cantSplit/>
        </w:trPr>
        <w:tc>
          <w:tcPr>
            <w:tcW w:type="dxa" w:w="370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Частота</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50 Гц</w:t>
            </w:r>
          </w:p>
        </w:tc>
        <w:tc>
          <w:tcPr>
            <w:tcW w:type="dxa" w:w="39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Каталог; подтверждено оператором</w:t>
            </w:r>
          </w:p>
        </w:tc>
      </w:tr>
      <w:tr>
        <w:trPr>
          <w:cantSplit/>
        </w:trPr>
        <w:tc>
          <w:tcPr>
            <w:tcW w:type="dxa" w:w="370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Скорость</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2720 об/мин</w:t>
            </w:r>
          </w:p>
        </w:tc>
        <w:tc>
          <w:tcPr>
            <w:tcW w:type="dxa" w:w="39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Каталог; подтверждено оператором</w:t>
            </w:r>
          </w:p>
        </w:tc>
      </w:tr>
      <w:tr>
        <w:trPr>
          <w:cantSplit/>
        </w:trPr>
        <w:tc>
          <w:tcPr>
            <w:tcW w:type="dxa" w:w="370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Пары полюсов</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w:t>
            </w:r>
          </w:p>
        </w:tc>
        <w:tc>
          <w:tcPr>
            <w:tcW w:type="dxa" w:w="39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Расчёт по 50 Гц и 2720 об/мин</w:t>
            </w:r>
          </w:p>
        </w:tc>
      </w:tr>
      <w:tr>
        <w:trPr>
          <w:cantSplit/>
        </w:trPr>
        <w:tc>
          <w:tcPr>
            <w:tcW w:type="dxa" w:w="370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Rs, Rr, Lls, Llr, Lm, J</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 измерены</w:t>
            </w:r>
          </w:p>
        </w:tc>
        <w:tc>
          <w:tcPr>
            <w:tcW w:type="dxa" w:w="39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IOC demo-значения запрещены для FOC</w:t>
            </w:r>
          </w:p>
        </w:tc>
      </w:tr>
    </w:tbl>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2" name="Picture 2" title="Рисунок 2.1" descr="Рисунок 2.1 — Связь частоты и скорости для двигателя с одной парой полюсов"/>
            <wp:cNvGraphicFramePr>
              <a:graphicFrameLocks noChangeAspect="1"/>
            </wp:cNvGraphicFramePr>
            <a:graphic>
              <a:graphicData uri="http://schemas.openxmlformats.org/drawingml/2006/picture">
                <pic:pic>
                  <pic:nvPicPr>
                    <pic:cNvPr id="0" name="fig04_speed.png"/>
                    <pic:cNvPicPr/>
                  </pic:nvPicPr>
                  <pic:blipFill>
                    <a:blip r:embed="rId11"/>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2.1 — Связь частоты и скорости для двигателя с одной парой полюсов</w:t>
      </w:r>
    </w:p>
    <w:p>
      <w:pPr>
        <w:pStyle w:val="Heading2"/>
      </w:pPr>
      <w:r>
        <w:rPr>
          <w:rFonts w:ascii="Times New Roman" w:hAnsi="Times New Roman" w:eastAsia="Times New Roman" w:cs="Times New Roman"/>
          <w:lang w:val="ru-RU" w:eastAsia="ru-RU" w:bidi="ru-RU"/>
          <w:color w:val="000000"/>
        </w:rPr>
        <w:t>2.2 Модель асинхронной машины в координатах dq</w:t>
      </w:r>
    </w:p>
    <w:p>
      <w:pPr/>
      <w:r>
        <w:rPr>
          <w:rFonts w:ascii="Times New Roman" w:hAnsi="Times New Roman" w:eastAsia="Times New Roman" w:cs="Times New Roman"/>
          <w:i w:val="0"/>
          <w:sz w:val="28"/>
          <w:lang w:val="ru-RU" w:eastAsia="ru-RU" w:bidi="ru-RU"/>
          <w:color w:val="000000"/>
        </w:rPr>
        <w:t>Для построения FOC используется модель в синхронно вращающейся системе координат dq. Напряжения статора связаны с токами и потокосцеплениями выражениями</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uₛd = Rₛiₛd + dψₛd/dt - ωₑψₛq</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(2.3)</w:t>
            </w:r>
          </w:p>
        </w:tc>
      </w:tr>
    </w:tbl>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uₛq = Rₛiₛq + dψₛq/dt + ωₑψₛd</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(2.4)</w:t>
            </w:r>
          </w:p>
        </w:tc>
      </w:tr>
    </w:tbl>
    <w:p>
      <w:pPr/>
      <w:r>
        <w:rPr>
          <w:rFonts w:ascii="Times New Roman" w:hAnsi="Times New Roman" w:eastAsia="Times New Roman" w:cs="Times New Roman"/>
          <w:i w:val="0"/>
          <w:sz w:val="28"/>
          <w:lang w:val="ru-RU" w:eastAsia="ru-RU" w:bidi="ru-RU"/>
          <w:color w:val="000000"/>
        </w:rPr>
        <w:t>Уравнения ротора для короткозамкнутой машины записываются при нулевых приложенных напряжениях ротора. Электрическая скорость скольжения равна разности синхронной скорости системы координат и электрической скорости ротора.</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0 = Rᵣiᵣd + dψᵣd/dt - ωslψᵣq</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(2.5)</w:t>
            </w:r>
          </w:p>
        </w:tc>
      </w:tr>
    </w:tbl>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0 = Rᵣiᵣq + dψᵣq/dt + ωslψᵣd</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(2.6)</w:t>
            </w:r>
          </w:p>
        </w:tc>
      </w:tr>
    </w:tbl>
    <w:p>
      <w:pPr/>
      <w:r>
        <w:rPr>
          <w:rFonts w:ascii="Times New Roman" w:hAnsi="Times New Roman" w:eastAsia="Times New Roman" w:cs="Times New Roman"/>
          <w:i w:val="0"/>
          <w:sz w:val="28"/>
          <w:lang w:val="ru-RU" w:eastAsia="ru-RU" w:bidi="ru-RU"/>
          <w:color w:val="000000"/>
        </w:rPr>
        <w:t>Связь потокосцеплений и токов определяется собственными и взаимной индуктивностями. Для вычислительной реализации параметры приводятся к одной стороне и проверяются тестами размерности. Механическая часть описывается уравнением баланса моментов.</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J dωm/dt = Mₑ - Mload - Bωm</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(2.7)</w:t>
            </w:r>
          </w:p>
        </w:tc>
      </w:tr>
    </w:tbl>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Mₑ = (3/2)p(ψₛd iₛq - ψₛq iₛd)</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(2.8)</w:t>
            </w:r>
          </w:p>
        </w:tc>
      </w:tr>
    </w:tbl>
    <w:p>
      <w:pPr/>
      <w:r>
        <w:rPr>
          <w:rFonts w:ascii="Times New Roman" w:hAnsi="Times New Roman" w:eastAsia="Times New Roman" w:cs="Times New Roman"/>
          <w:i w:val="0"/>
          <w:sz w:val="28"/>
          <w:lang w:val="ru-RU" w:eastAsia="ru-RU" w:bidi="ru-RU"/>
          <w:color w:val="000000"/>
        </w:rPr>
        <w:t>В тяговой задаче нагрузочный момент не является постоянным: он зависит от сопротивления движению, передаточного отношения, радиуса колеса и сцепления. В лабораторной работе нагрузка задаётся тормозной машиной или моделью HIL. Для переноса результатов к подвижному составу механическая модель дополняется массой поезда, уклоном, кривыми и ограничением силы тяги по сцеплению.</w:t>
      </w:r>
    </w:p>
    <w:p>
      <w:pPr>
        <w:pStyle w:val="Heading2"/>
      </w:pPr>
      <w:r>
        <w:rPr>
          <w:rFonts w:ascii="Times New Roman" w:hAnsi="Times New Roman" w:eastAsia="Times New Roman" w:cs="Times New Roman"/>
          <w:lang w:val="ru-RU" w:eastAsia="ru-RU" w:bidi="ru-RU"/>
          <w:color w:val="000000"/>
        </w:rPr>
        <w:t>2.3 Скалярный закон, номинальная область и ослабление поля</w:t>
      </w:r>
    </w:p>
    <w:p>
      <w:pPr/>
      <w:r>
        <w:rPr>
          <w:rFonts w:ascii="Times New Roman" w:hAnsi="Times New Roman" w:eastAsia="Times New Roman" w:cs="Times New Roman"/>
          <w:i w:val="0"/>
          <w:sz w:val="28"/>
          <w:lang w:val="ru-RU" w:eastAsia="ru-RU" w:bidi="ru-RU"/>
          <w:color w:val="000000"/>
        </w:rPr>
        <w:t>В основной области частота изменяется от нуля до 50 Гц, а напряжение возрастает от Uboost до номинального. После достижения доступного напряжения дальнейший рост частоты возможен только в режиме ослабления поля. При приблизительно постоянной мощности допустимый момент уменьшается обратно пропорционально скорости. Такой режим не включён в текущую прошивку и рассматривается как последующая исследовательская стадия.</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U₁(f) = Uboost + (UN - Uboost)f/fN,    0 ≤ f ≤ fN</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(2.9)</w:t>
            </w:r>
          </w:p>
        </w:tc>
      </w:tr>
    </w:tbl>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U₁(f) = UN;    ψ ~ UN/f;    Mmax ~ 1/f,    f &gt; fN</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(2.10)</w:t>
            </w:r>
          </w:p>
        </w:tc>
      </w:tr>
    </w:tbl>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3" name="Picture 3" title="Рисунок 2.2" descr="Рисунок 2.2 — Расчётный закон V/f и перспективная область частот выше 50 Гц"/>
            <wp:cNvGraphicFramePr>
              <a:graphicFrameLocks noChangeAspect="1"/>
            </wp:cNvGraphicFramePr>
            <a:graphic>
              <a:graphicData uri="http://schemas.openxmlformats.org/drawingml/2006/picture">
                <pic:pic>
                  <pic:nvPicPr>
                    <pic:cNvPr id="0" name="fig03_vf_curve.png"/>
                    <pic:cNvPicPr/>
                  </pic:nvPicPr>
                  <pic:blipFill>
                    <a:blip r:embed="rId12"/>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2.2 — Расчётный закон V/f и перспективная область частот выше 50 Гц</w:t>
      </w:r>
    </w:p>
    <w:p>
      <w:pPr/>
      <w:r>
        <w:rPr>
          <w:rFonts w:ascii="Times New Roman" w:hAnsi="Times New Roman" w:eastAsia="Times New Roman" w:cs="Times New Roman"/>
          <w:i w:val="0"/>
          <w:sz w:val="28"/>
          <w:lang w:val="ru-RU" w:eastAsia="ru-RU" w:bidi="ru-RU"/>
          <w:color w:val="000000"/>
        </w:rPr>
        <w:t>На рисунке 2.2 область до 50 Гц соответствует текущему программному ограничению, а горизонтальный участок напряжения обозначает только будущую область ослабления поля.</w:t>
      </w:r>
    </w:p>
    <w:p>
      <w:pPr/>
      <w:r>
        <w:rPr>
          <w:rFonts w:ascii="Times New Roman" w:hAnsi="Times New Roman" w:eastAsia="Times New Roman" w:cs="Times New Roman"/>
          <w:i w:val="0"/>
          <w:sz w:val="28"/>
          <w:lang w:val="ru-RU" w:eastAsia="ru-RU" w:bidi="ru-RU"/>
          <w:color w:val="000000"/>
        </w:rPr>
        <w:t>Переход выше 50 Гц допускается только после проверки механической предельной скорости двигателя и нагрузки, напряжения звена, тока, нагрева и устойчивости регуляторов. Простое снятие программного ограничения без этих данных недопустимо. В экспериментальном плане частотный диапазон расширяется ступенчато с независимым контролем вибрации и температуры.</w:t>
      </w:r>
    </w:p>
    <w:p>
      <w:pPr>
        <w:pStyle w:val="Heading2"/>
      </w:pPr>
      <w:r>
        <w:rPr>
          <w:rFonts w:ascii="Times New Roman" w:hAnsi="Times New Roman" w:eastAsia="Times New Roman" w:cs="Times New Roman"/>
          <w:lang w:val="ru-RU" w:eastAsia="ru-RU" w:bidi="ru-RU"/>
          <w:color w:val="000000"/>
        </w:rPr>
        <w:t>2.4 Преобразования Clarke и Park, структура FOC</w:t>
      </w:r>
    </w:p>
    <w:p>
      <w:pPr/>
      <w:r>
        <w:rPr>
          <w:rFonts w:ascii="Times New Roman" w:hAnsi="Times New Roman" w:eastAsia="Times New Roman" w:cs="Times New Roman"/>
          <w:i w:val="0"/>
          <w:sz w:val="28"/>
          <w:lang w:val="ru-RU" w:eastAsia="ru-RU" w:bidi="ru-RU"/>
          <w:color w:val="000000"/>
        </w:rPr>
        <w:t>Трёхфазные токи преобразуются в неподвижные координаты αβ, а затем поворачиваются на оцененный электрический угол. При симметричной системе достаточно двух измеренных фазных токов, но реконструкция третьего должна учитывать синхронность выборки и насыщение АЦП.</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iα = ia;    iβ = (ia + 2ib)/√3</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(2.11)</w:t>
            </w:r>
          </w:p>
        </w:tc>
      </w:tr>
    </w:tbl>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id = iα cos θe + iβ sin θe</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(2.12)</w:t>
            </w:r>
          </w:p>
        </w:tc>
      </w:tr>
    </w:tbl>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iq = -iα sin θe + iβ cos θe</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(2.13)</w:t>
            </w:r>
          </w:p>
        </w:tc>
      </w:tr>
    </w:tbl>
    <w:p>
      <w:pPr/>
      <w:r>
        <w:rPr>
          <w:rFonts w:ascii="Times New Roman" w:hAnsi="Times New Roman" w:eastAsia="Times New Roman" w:cs="Times New Roman"/>
          <w:i w:val="0"/>
          <w:sz w:val="28"/>
          <w:lang w:val="ru-RU" w:eastAsia="ru-RU" w:bidi="ru-RU"/>
          <w:color w:val="000000"/>
        </w:rPr>
        <w:t>При ориентации оси d по потокосцеплению ротора ψrq стремится к нулю. Команда isd задаёт поток, а isq — момент. Внешний регулятор скорости формирует isq*, внутренние регуляторы токов формируют напряжения usd* и usq*, после чего обратное преобразование и SVPWM создают коэффициенты заполнения.</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Mₑ ≈ (3/2)p(Lm/Lr)ψrd isq</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(2.14)</w:t>
            </w:r>
          </w:p>
        </w:tc>
      </w:tr>
    </w:tbl>
    <w:p>
      <w:pPr/>
      <w:r>
        <w:rPr>
          <w:rFonts w:ascii="Times New Roman" w:hAnsi="Times New Roman" w:eastAsia="Times New Roman" w:cs="Times New Roman"/>
          <w:i w:val="0"/>
          <w:sz w:val="28"/>
          <w:lang w:val="ru-RU" w:eastAsia="ru-RU" w:bidi="ru-RU"/>
          <w:color w:val="000000"/>
        </w:rPr>
        <w:t>Функциональные связи преобразований, регуляторов, наблюдателя и модулятора представлены на рисунке 2.3.</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4" name="Picture 4" title="Рисунок 2.3" descr="Рисунок 2.3 — Функциональная структура FOC с оцениванием потока"/>
            <wp:cNvGraphicFramePr>
              <a:graphicFrameLocks noChangeAspect="1"/>
            </wp:cNvGraphicFramePr>
            <a:graphic>
              <a:graphicData uri="http://schemas.openxmlformats.org/drawingml/2006/picture">
                <pic:pic>
                  <pic:nvPicPr>
                    <pic:cNvPr id="0" name="fig05_foc.png"/>
                    <pic:cNvPicPr/>
                  </pic:nvPicPr>
                  <pic:blipFill>
                    <a:blip r:embed="rId13"/>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2.3 — Функциональная структура FOC с оцениванием потока</w:t>
      </w:r>
    </w:p>
    <w:p>
      <w:pPr>
        <w:pStyle w:val="Heading2"/>
      </w:pPr>
      <w:r>
        <w:rPr>
          <w:rFonts w:ascii="Times New Roman" w:hAnsi="Times New Roman" w:eastAsia="Times New Roman" w:cs="Times New Roman"/>
          <w:lang w:val="ru-RU" w:eastAsia="ru-RU" w:bidi="ru-RU"/>
          <w:color w:val="000000"/>
        </w:rPr>
        <w:t>2.5 Пространственно-векторная модуляция и ограничения</w:t>
      </w:r>
    </w:p>
    <w:p>
      <w:pPr/>
      <w:r>
        <w:rPr>
          <w:rFonts w:ascii="Times New Roman" w:hAnsi="Times New Roman" w:eastAsia="Times New Roman" w:cs="Times New Roman"/>
          <w:i w:val="0"/>
          <w:sz w:val="28"/>
          <w:lang w:val="ru-RU" w:eastAsia="ru-RU" w:bidi="ru-RU"/>
          <w:color w:val="000000"/>
        </w:rPr>
        <w:t>Двухуровневый трёхфазный инвертор имеет восемь комбинаций ключей: шесть активных векторов и два нулевых. Классическая SVPWM аппроксимирует заданный вектор в пределах периода переключения соседними активными и нулевыми состояниями. При прямом интеллектуальном выборе конечного набора векторов тот же физический набор становится пространством действий.</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V*Ts = VkT₁ + Vk+1T₂ + V₀T₀;    T₀ + T₁ + T₂ = Ts</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(2.15)</w:t>
            </w:r>
          </w:p>
        </w:tc>
      </w:tr>
    </w:tbl>
    <w:p>
      <w:pPr/>
      <w:r>
        <w:rPr>
          <w:rFonts w:ascii="Times New Roman" w:hAnsi="Times New Roman" w:eastAsia="Times New Roman" w:cs="Times New Roman"/>
          <w:i w:val="0"/>
          <w:sz w:val="28"/>
          <w:lang w:val="ru-RU" w:eastAsia="ru-RU" w:bidi="ru-RU"/>
          <w:color w:val="000000"/>
        </w:rPr>
        <w:t>Геометрия допустимых активных векторов и произвольного задания V* показана на рисунке 2.4.</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5" name="Picture 5" title="Рисунок 2.4" descr="Рисунок 2.4 — Допустимые пространственные векторы напряжения инвертора"/>
            <wp:cNvGraphicFramePr>
              <a:graphicFrameLocks noChangeAspect="1"/>
            </wp:cNvGraphicFramePr>
            <a:graphic>
              <a:graphicData uri="http://schemas.openxmlformats.org/drawingml/2006/picture">
                <pic:pic>
                  <pic:nvPicPr>
                    <pic:cNvPr id="0" name="fig06_svpwm.png"/>
                    <pic:cNvPicPr/>
                  </pic:nvPicPr>
                  <pic:blipFill>
                    <a:blip r:embed="rId14"/>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2.4 — Допустимые пространственные векторы напряжения инвертора</w:t>
      </w:r>
    </w:p>
    <w:p>
      <w:pPr/>
      <w:r>
        <w:rPr>
          <w:rFonts w:ascii="Times New Roman" w:hAnsi="Times New Roman" w:eastAsia="Times New Roman" w:cs="Times New Roman"/>
          <w:i w:val="0"/>
          <w:sz w:val="28"/>
          <w:lang w:val="ru-RU" w:eastAsia="ru-RU" w:bidi="ru-RU"/>
          <w:color w:val="000000"/>
        </w:rPr>
        <w:t>Ограничения модуляции включают запрет одновременного включения верхнего и нижнего ключей плеча, минимальный импульс, dead-time, максимальный коэффициент модуляции, токовый предел и тепловой предел. Safety Gateway проверяет действие независимо от алгоритма, сформировавшего его. При невозможности принять действие используется заранее определённый fallback или отключение PWM.</w:t>
      </w:r>
    </w:p>
    <w:p>
      <w:pPr/>
      <w:r>
        <w:rPr>
          <w:rFonts w:ascii="Times New Roman" w:hAnsi="Times New Roman" w:eastAsia="Times New Roman" w:cs="Times New Roman"/>
          <w:i w:val="0"/>
          <w:sz w:val="28"/>
          <w:lang w:val="ru-RU" w:eastAsia="ru-RU" w:bidi="ru-RU"/>
          <w:color w:val="000000"/>
        </w:rPr>
        <w:t>Для сопоставления модели со стендом идеальный инвертор должен быть дополнен падением напряжения на ключах и диодах, искажением dead-time, задержкой обновления PWM и ограничением напряжения звена. Измерительный тракт описывается коэффициентами передачи, смещением АЦП, квантованием, шумом и задержкой синхронной выборки. Температурная подсистема задаёт дрейф сопротивлений и допустимые пределы нагрева. Эти неидеальности образуют множество неопределённости, в котором должны проверяться базовый FOC и адаптивный метод [21-24, 27-29].</w:t>
      </w:r>
    </w:p>
    <w:p>
      <w:pPr>
        <w:pStyle w:val="Heading2"/>
      </w:pPr>
      <w:r>
        <w:rPr>
          <w:rFonts w:ascii="Times New Roman" w:hAnsi="Times New Roman" w:eastAsia="Times New Roman" w:cs="Times New Roman"/>
          <w:lang w:val="ru-RU" w:eastAsia="ru-RU" w:bidi="ru-RU"/>
          <w:color w:val="000000"/>
        </w:rPr>
        <w:t>2.6 Критерии энергетической эффективности и робастности</w:t>
      </w:r>
    </w:p>
    <w:p>
      <w:pPr/>
      <w:r>
        <w:rPr>
          <w:rFonts w:ascii="Times New Roman" w:hAnsi="Times New Roman" w:eastAsia="Times New Roman" w:cs="Times New Roman"/>
          <w:i w:val="0"/>
          <w:sz w:val="28"/>
          <w:lang w:val="ru-RU" w:eastAsia="ru-RU" w:bidi="ru-RU"/>
          <w:color w:val="000000"/>
        </w:rPr>
        <w:t>КПД привода вычисляется по синхронным измерениям электрической и механической мощности с явным учётом направления потока энергии. Для малой машины абсолютная погрешность датчиков может быть сопоставима с исследуемой разностью алгоритмов, поэтому необходима предварительная оценка неопределённости.</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ηmot=Pmech/Pdc;  ηreg=|Pdc|/|Pmech|;  Ecycle=∫Pdc dt</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(2.16)</w:t>
            </w:r>
          </w:p>
        </w:tc>
      </w:tr>
    </w:tbl>
    <w:p>
      <w:pPr/>
      <w:r>
        <w:rPr>
          <w:rFonts w:ascii="Times New Roman" w:hAnsi="Times New Roman" w:eastAsia="Times New Roman" w:cs="Times New Roman"/>
          <w:i w:val="0"/>
          <w:sz w:val="28"/>
          <w:lang w:val="ru-RU" w:eastAsia="ru-RU" w:bidi="ru-RU"/>
          <w:color w:val="000000"/>
        </w:rPr>
        <w:t>Первое отношение применяется только в двигательном режиме Pdc&gt;0 и Pmech&gt;0, второе — при рекуперативном торможении с согласованным знаком мощности. Для полного тягового цикла основной энергетической метрикой служит интеграл Ecycle и удельная энергия, отнесённая к механической работе, пути либо заданному циклу. Участки с различным направлением мощности не усредняются одной формулой КПД.</w:t>
      </w:r>
    </w:p>
    <w:p>
      <w:pPr/>
      <w:r>
        <w:rPr>
          <w:rFonts w:ascii="Times New Roman" w:hAnsi="Times New Roman" w:eastAsia="Times New Roman" w:cs="Times New Roman"/>
          <w:i w:val="0"/>
          <w:sz w:val="28"/>
          <w:lang w:val="ru-RU" w:eastAsia="ru-RU" w:bidi="ru-RU"/>
          <w:color w:val="000000"/>
        </w:rPr>
        <w:t>Дополнительные показатели включают среднеквадратический ток, интеграл квадрата ошибки скорости, пиковый ток, пульсации момента, коммутационные события и температуру. Для каждого сценария задаётся одинаковая длительность, начальное состояние и профиль нагрузки. Статистический вывод строится по серии повторов с доверительными интервалами, а не по одной красивой осциллограмме.</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IAE = ∫|n* - n|dt;    I²t = ∫is²dt</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(2.17)</w:t>
            </w:r>
          </w:p>
        </w:tc>
      </w:tr>
    </w:tbl>
    <w:p>
      <w:pPr>
        <w:pStyle w:val="Heading2"/>
      </w:pPr>
      <w:r>
        <w:rPr>
          <w:rFonts w:ascii="Times New Roman" w:hAnsi="Times New Roman" w:eastAsia="Times New Roman" w:cs="Times New Roman"/>
          <w:lang w:val="ru-RU" w:eastAsia="ru-RU" w:bidi="ru-RU"/>
          <w:color w:val="000000"/>
        </w:rPr>
        <w:t>2.7 Граница переноса к тяговому электроприводу</w:t>
      </w:r>
    </w:p>
    <w:p>
      <w:pPr/>
      <w:r>
        <w:rPr>
          <w:rFonts w:ascii="Times New Roman" w:hAnsi="Times New Roman" w:eastAsia="Times New Roman" w:cs="Times New Roman"/>
          <w:i w:val="0"/>
          <w:sz w:val="28"/>
          <w:lang w:val="ru-RU" w:eastAsia="ru-RU" w:bidi="ru-RU"/>
          <w:color w:val="000000"/>
        </w:rPr>
        <w:t>Лабораторный АИР56В2 не является тяговым двигателем, поэтому одной нормировки электрических величин недостаточно для отраслевого вывода. Перенос должен выполняться через отдельную модель механической части поезда, включающую приведённую массу, передаточное отношение, радиус колеса, КПД передачи, сопротивление движению, уклон и ограничение силы тяги по сцеплению.</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Meq·dv/dt = Ft − (A+Bv+Cv²) − Meq·g·i;    Ft = ηg·ig·Mm/rw</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(2.18)</w:t>
            </w:r>
          </w:p>
        </w:tc>
      </w:tr>
    </w:tbl>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|Ft| ≤ μ(v,weather)·Ma·g;    Especific = ∫Pdc dt / S</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(2.19)</w:t>
            </w:r>
          </w:p>
        </w:tc>
      </w:tr>
    </w:tbl>
    <w:p>
      <w:pPr/>
      <w:r>
        <w:rPr>
          <w:rFonts w:ascii="Times New Roman" w:hAnsi="Times New Roman" w:eastAsia="Times New Roman" w:cs="Times New Roman"/>
          <w:i w:val="0"/>
          <w:sz w:val="28"/>
          <w:lang w:val="ru-RU" w:eastAsia="ru-RU" w:bidi="ru-RU"/>
          <w:color w:val="000000"/>
        </w:rPr>
        <w:t>Коэффициенты A, B, C, приведённая масса Meq, сцепной вес Ma, коэффициент сцепления μ и профиль пути должны задаваться для выбранной серии подвижного состава. В рабочей редакции численные параметры тягового объекта не выбраны, поэтому модель (2.18)-(2.19) определяет обязательную структуру будущего эксперимента, но не даёт количественного результата. До заполнения этой модели выводы относятся к лабораторному асинхронному электроприводу и методике его последующего масштабирования.</w:t>
      </w:r>
    </w:p>
    <w:p>
      <w:pPr>
        <w:pStyle w:val="Heading2"/>
      </w:pPr>
      <w:r>
        <w:rPr>
          <w:rFonts w:ascii="Times New Roman" w:hAnsi="Times New Roman" w:eastAsia="Times New Roman" w:cs="Times New Roman"/>
          <w:lang w:val="ru-RU" w:eastAsia="ru-RU" w:bidi="ru-RU"/>
          <w:color w:val="000000"/>
        </w:rPr>
        <w:t>2.8 Выводы по главе 2</w:t>
      </w:r>
    </w:p>
    <w:p>
      <w:pPr/>
      <w:r>
        <w:rPr>
          <w:rFonts w:ascii="Times New Roman" w:hAnsi="Times New Roman" w:eastAsia="Times New Roman" w:cs="Times New Roman"/>
          <w:i w:val="0"/>
          <w:sz w:val="28"/>
          <w:lang w:val="ru-RU" w:eastAsia="ru-RU" w:bidi="ru-RU"/>
          <w:color w:val="000000"/>
        </w:rPr>
        <w:t>По результатам математического описания установлено:</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принятые каталожные данные АИР56В2 задают числовую часть кандидата V/f-профиля для физического соединения обмоток треугольником при 220 В, тогда как 127,017 В является только эквивалентным фазным напряжением модели; профиль должен быть подтверждён по конкретному экземпляру;</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параметры Rs, Rr, Lls, Llr, Lm, J и B не следуют из шильдика и должны быть получены экспериментальной идентификацией до настройки FOC;</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dq-модель, преобразования Clarke и Park и модель двухуровневого инвертора образуют единый цифровой двойник для сравнения классических и интеллектуальных алгоритмов;</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диапазон выше 50 Гц относится к ослаблению поля и требует отдельного механического, теплового и электрического допуска;</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5. критерий качества должен одновременно учитывать КПД, динамическую ошибку, токовую нагрузку, коммутационные события и нарушения ограничений.</w:t>
      </w:r>
    </w:p>
    <w:p>
      <w:pPr>
        <w:pStyle w:val="Heading1"/>
      </w:pPr>
      <w:r>
        <w:rPr>
          <w:rFonts w:ascii="Times New Roman" w:hAnsi="Times New Roman" w:eastAsia="Times New Roman" w:cs="Times New Roman"/>
          <w:lang w:val="ru-RU" w:eastAsia="ru-RU" w:bidi="ru-RU"/>
          <w:color w:val="000000"/>
        </w:rPr>
        <w:t>3 ПРОГРАММНО-АППАРАТНАЯ ПЛАТФОРМА И ПРОСЛЕЖИВАЕМОСТЬ</w:t>
      </w:r>
    </w:p>
    <w:p>
      <w:pPr>
        <w:pStyle w:val="Heading2"/>
      </w:pPr>
      <w:r>
        <w:rPr>
          <w:rFonts w:ascii="Times New Roman" w:hAnsi="Times New Roman" w:eastAsia="Times New Roman" w:cs="Times New Roman"/>
          <w:lang w:val="ru-RU" w:eastAsia="ru-RU" w:bidi="ru-RU"/>
          <w:color w:val="000000"/>
        </w:rPr>
        <w:t>3.1 Архитектура стенда</w:t>
      </w:r>
    </w:p>
    <w:p>
      <w:pPr/>
      <w:r>
        <w:rPr>
          <w:rFonts w:ascii="Times New Roman" w:hAnsi="Times New Roman" w:eastAsia="Times New Roman" w:cs="Times New Roman"/>
          <w:i w:val="0"/>
          <w:sz w:val="28"/>
          <w:lang w:val="ru-RU" w:eastAsia="ru-RU" w:bidi="ru-RU"/>
          <w:color w:val="000000"/>
        </w:rPr>
        <w:t>Проект платформы построен по иерархическому принципу. NUCLEO-G431RB должен выполнять быстрый контур MCSDK, управлять таймерами, АЦП и аппаратным входом break. X-NUCLEO-IHM09M2 согласует стандартный motor-control connector с платой STEVAL-IPM15B [19-24]. UNO Q предназначен для функций верхнего уровня, журналирования и будущей интеллектуальной адаптации, но не должен управлять шестью PWM-сигналами непосредственно [25].</w:t>
      </w:r>
    </w:p>
    <w:p>
      <w:pPr/>
      <w:r>
        <w:rPr>
          <w:rFonts w:ascii="Times New Roman" w:hAnsi="Times New Roman" w:eastAsia="Times New Roman" w:cs="Times New Roman"/>
          <w:i w:val="0"/>
          <w:sz w:val="28"/>
          <w:lang w:val="ru-RU" w:eastAsia="ru-RU" w:bidi="ru-RU"/>
          <w:color w:val="000000"/>
        </w:rPr>
        <w:t>Разделение функций показано на рисунке 3.1, а назначение и критические ограничения компонентов приведены в таблице 3.1.</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6" name="Picture 6" title="Рисунок 3.1" descr="Рисунок 3.1 — Функциональная архитектура стенда и разделение ответственности"/>
            <wp:cNvGraphicFramePr>
              <a:graphicFrameLocks noChangeAspect="1"/>
            </wp:cNvGraphicFramePr>
            <a:graphic>
              <a:graphicData uri="http://schemas.openxmlformats.org/drawingml/2006/picture">
                <pic:pic>
                  <pic:nvPicPr>
                    <pic:cNvPr id="0" name="fig02_architecture.png"/>
                    <pic:cNvPicPr/>
                  </pic:nvPicPr>
                  <pic:blipFill>
                    <a:blip r:embed="rId15"/>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3.1 — Функциональная архитектура стенда и разделение ответственности</w:t>
      </w:r>
    </w:p>
    <w:p>
      <w:pPr>
        <w:keepNext/>
        <w:pageBreakBefore/>
        <w:spacing w:before="180" w:after="60"/>
        <w:ind w:firstLine="0"/>
      </w:pPr>
      <w:r>
        <w:rPr>
          <w:rFonts w:ascii="Times New Roman" w:hAnsi="Times New Roman" w:eastAsia="Times New Roman" w:cs="Times New Roman"/>
          <w:sz w:val="24"/>
          <w:lang w:val="ru-RU" w:eastAsia="ru-RU" w:bidi="ru-RU"/>
          <w:color w:val="000000"/>
        </w:rPr>
        <w:t>Таблица 3.1 — Основные компоненты платформы</w:t>
      </w:r>
    </w:p>
    <w:tbl>
      <w:tblPr>
        <w:tblStyle w:val="TableGrid"/>
        <w:tblW w:type="dxa" w:w="9921"/>
        <w:tblLayout w:type="fixed"/>
        <w:tblLook w:firstColumn="1" w:firstRow="1" w:lastColumn="0" w:lastRow="0" w:noHBand="0" w:noVBand="1" w:val="04A0"/>
        <w:tblInd w:w="0" w:type="dxa"/>
      </w:tblPr>
      <w:tblGrid>
        <w:gridCol w:w="2573"/>
        <w:gridCol w:w="3397"/>
        <w:gridCol w:w="3951"/>
      </w:tblGrid>
      <w:tr>
        <w:trPr>
          <w:tblHeader w:val="true"/>
          <w:cantSplit/>
        </w:trPr>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Компонент</w:t>
            </w:r>
          </w:p>
        </w:tc>
        <w:tc>
          <w:tcPr>
            <w:tcW w:type="dxa" w:w="3397"/>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Назначение</w:t>
            </w:r>
          </w:p>
        </w:tc>
        <w:tc>
          <w:tcPr>
            <w:tcW w:type="dxa" w:w="395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Критическое ограничение</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STM32G431RBTx</w:t>
            </w:r>
          </w:p>
        </w:tc>
        <w:tc>
          <w:tcPr>
            <w:tcW w:type="dxa" w:w="339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Контур реального времени</w:t>
            </w:r>
          </w:p>
        </w:tc>
        <w:tc>
          <w:tcPr>
            <w:tcW w:type="dxa" w:w="395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Плата ожидается с RBT6; IOC пока RBT3</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NUCLEO-G431RB</w:t>
            </w:r>
          </w:p>
        </w:tc>
        <w:tc>
          <w:tcPr>
            <w:tcW w:type="dxa" w:w="339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Отладочная плата</w:t>
            </w:r>
          </w:p>
        </w:tc>
        <w:tc>
          <w:tcPr>
            <w:tcW w:type="dxa" w:w="395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Прошивка через встроенный ST-Link</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X-NUCLEO-IHM09M2</w:t>
            </w:r>
          </w:p>
        </w:tc>
        <w:tc>
          <w:tcPr>
            <w:tcW w:type="dxa" w:w="339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Переходник</w:t>
            </w:r>
          </w:p>
        </w:tc>
        <w:tc>
          <w:tcPr>
            <w:tcW w:type="dxa" w:w="395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34-контактный motor-control интерфейс</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STEVAL-IPM15B</w:t>
            </w:r>
          </w:p>
        </w:tc>
        <w:tc>
          <w:tcPr>
            <w:tcW w:type="dxa" w:w="339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Трёхфазная IPM-плата</w:t>
            </w:r>
          </w:p>
        </w:tc>
        <w:tc>
          <w:tcPr>
            <w:tcW w:type="dxa" w:w="395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Мощность сверять с ревизией UM2014</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UNO Q</w:t>
            </w:r>
          </w:p>
        </w:tc>
        <w:tc>
          <w:tcPr>
            <w:tcW w:type="dxa" w:w="339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Верхний уровень и ИИ</w:t>
            </w:r>
          </w:p>
        </w:tc>
        <w:tc>
          <w:tcPr>
            <w:tcW w:type="dxa" w:w="395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Прямой UART; весь узел внутри HOT-корпуса</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АИР56В2</w:t>
            </w:r>
          </w:p>
        </w:tc>
        <w:tc>
          <w:tcPr>
            <w:tcW w:type="dxa" w:w="339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Объект управления</w:t>
            </w:r>
          </w:p>
        </w:tc>
        <w:tc>
          <w:tcPr>
            <w:tcW w:type="dxa" w:w="395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220 В Δ; 1,24 А; 50 Гц [26]</w:t>
            </w:r>
          </w:p>
        </w:tc>
      </w:tr>
    </w:tbl>
    <w:p>
      <w:pPr>
        <w:pStyle w:val="Heading2"/>
      </w:pPr>
      <w:r>
        <w:rPr>
          <w:rFonts w:ascii="Times New Roman" w:hAnsi="Times New Roman" w:eastAsia="Times New Roman" w:cs="Times New Roman"/>
          <w:lang w:val="ru-RU" w:eastAsia="ru-RU" w:bidi="ru-RU"/>
          <w:color w:val="000000"/>
        </w:rPr>
        <w:t>3.2 Конфигурация MCSDK и двигателя</w:t>
      </w:r>
    </w:p>
    <w:p>
      <w:pPr/>
      <w:r>
        <w:rPr>
          <w:rFonts w:ascii="Times New Roman" w:hAnsi="Times New Roman" w:eastAsia="Times New Roman" w:cs="Times New Roman"/>
          <w:i w:val="0"/>
          <w:sz w:val="28"/>
          <w:lang w:val="ru-RU" w:eastAsia="ru-RU" w:bidi="ru-RU"/>
          <w:color w:val="000000"/>
        </w:rPr>
        <w:t>Основной проект расположен в каталоге mcsdk_reference/.../AIR56B2_..._NOT_FOR_HV. Он создан из официального примера ACIM V/F Open Loop для NUCLEO-G431RB, X-NUCLEO-IHM09M2 и STEVAL-IPM15B. Полный путь приведён в приложении А. Метаданные содержат MC_WORKBENCH_VERSION=6.2.0, WB_to_Mx_version=6.4.2, CUBE_MX_VER=6.16.1, MxCube.Version=6.18.1 и пакет STM32CubeG4 1.6.3; эти поля сохраняются вместе, поскольку отражают разные этапы генерации.</w:t>
      </w:r>
    </w:p>
    <w:p>
      <w:pPr/>
      <w:r>
        <w:rPr>
          <w:rFonts w:ascii="Times New Roman" w:hAnsi="Times New Roman" w:eastAsia="Times New Roman" w:cs="Times New Roman"/>
          <w:i w:val="0"/>
          <w:sz w:val="28"/>
          <w:lang w:val="ru-RU" w:eastAsia="ru-RU" w:bidi="ru-RU"/>
          <w:color w:val="000000"/>
        </w:rPr>
        <w:t>На ожидаемой физической плате NUCLEO-G431RB должен быть проверен STM32G431RBT6, тогда как импортированный IOC содержит Mcu.CPN=STM32G431RBT3 и общее обозначение STM32G431R(6-8-B)Tx. До осмотра платы и следующей контролируемой регенерации используется семейное обозначение STM32G431RBTx; расхождение метаданных должно быть устранено, а бинарник рассматривается только как кандидат.</w:t>
      </w:r>
    </w:p>
    <w:p>
      <w:pPr/>
      <w:r>
        <w:rPr>
          <w:rFonts w:ascii="Times New Roman" w:hAnsi="Times New Roman" w:eastAsia="Times New Roman" w:cs="Times New Roman"/>
          <w:i w:val="0"/>
          <w:sz w:val="28"/>
          <w:lang w:val="ru-RU" w:eastAsia="ru-RU" w:bidi="ru-RU"/>
          <w:color w:val="000000"/>
        </w:rPr>
        <w:t>В конфигурации заданы POLE_PAIR_NUM=1, NOMINAL_FREQ=50 Гц, MOTOR_MAX_SPEED_RPM=3000, эквивалентное фазное напряжение 127 В, ток 1,24 А и коэффициент потока FLUX_K=0,5717009 В·с. Сборка Debug завершена успешно с сохранением журнала и манифеста. Конфигурация намеренно содержит в названии NOT_FOR_HV, поскольку не является допуском к высоковольтному пуску.</w:t>
      </w:r>
    </w:p>
    <w:p>
      <w:pPr/>
      <w:r>
        <w:rPr>
          <w:rFonts w:ascii="Times New Roman" w:hAnsi="Times New Roman" w:eastAsia="Times New Roman" w:cs="Times New Roman"/>
          <w:i w:val="0"/>
          <w:sz w:val="28"/>
          <w:lang w:val="ru-RU" w:eastAsia="ru-RU" w:bidi="ru-RU"/>
          <w:color w:val="000000"/>
        </w:rPr>
        <w:t>Повторная генерация выполняется только в копию проекта. Это защищает пользовательский UART-адаптер от перезаписи Workbench/CubeMX и позволяет сравнить отчёт регенерации. После каждой генерации автоматически проверяются версия протокола, частотное ограничение, запрещённые режимы, отсутствие прямой записи в PWM и согласованность артефактов.</w:t>
      </w:r>
    </w:p>
    <w:p>
      <w:pPr/>
      <w:r>
        <w:rPr>
          <w:rFonts w:ascii="Times New Roman" w:hAnsi="Times New Roman" w:eastAsia="Times New Roman" w:cs="Times New Roman"/>
          <w:i w:val="0"/>
          <w:sz w:val="28"/>
          <w:lang w:val="ru-RU" w:eastAsia="ru-RU" w:bidi="ru-RU"/>
          <w:color w:val="000000"/>
        </w:rPr>
        <w:t>Аудит показал, что часть силовых и моторных констант унаследована от исходного примера и ещё не подтверждена измерениями. В частности, IOC содержит Rs=2,85 Ом, а сгенерированный acim_motor_parameters.h — RS=0,35 Ом; оба значения запрещено интерпретировать как измеренное сопротивление АИР56В2. Текущие параметры сведены в таблицу 3.2.</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3.2 — Фактические параметры текущей конфигурации MCSDK</w:t>
      </w:r>
    </w:p>
    <w:tbl>
      <w:tblPr>
        <w:tblStyle w:val="TableGrid"/>
        <w:tblW w:type="dxa" w:w="9921"/>
        <w:tblLayout w:type="fixed"/>
        <w:tblLook w:firstColumn="1" w:firstRow="1" w:lastColumn="0" w:lastRow="0" w:noHBand="0" w:noVBand="1" w:val="04A0"/>
        <w:tblInd w:w="0" w:type="dxa"/>
      </w:tblPr>
      <w:tblGrid>
        <w:gridCol w:w="2882"/>
        <w:gridCol w:w="2882"/>
        <w:gridCol w:w="4157"/>
      </w:tblGrid>
      <w:tr>
        <w:trPr>
          <w:tblHeader w:val="true"/>
          <w:cantSplit/>
        </w:trPr>
        <w:tc>
          <w:tcPr>
            <w:tcW w:type="dxa" w:w="2882"/>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Параметр</w:t>
            </w:r>
          </w:p>
        </w:tc>
        <w:tc>
          <w:tcPr>
            <w:tcW w:type="dxa" w:w="2882"/>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Значение в проекте</w:t>
            </w:r>
          </w:p>
        </w:tc>
        <w:tc>
          <w:tcPr>
            <w:tcW w:type="dxa" w:w="4157"/>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Статус</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Частота PWM</w:t>
            </w:r>
          </w:p>
        </w:tc>
        <w:tc>
          <w:tcPr>
            <w:tcW w:type="dxa" w:w="288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16 кГц</w:t>
            </w:r>
          </w:p>
        </w:tc>
        <w:tc>
          <w:tcPr>
            <w:tcW w:type="dxa" w:w="415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IOC и drive_parameters.h; стенд не проверен</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Dead-time</w:t>
            </w:r>
          </w:p>
        </w:tc>
        <w:tc>
          <w:tcPr>
            <w:tcW w:type="dxa" w:w="288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HW 2000 нс; SW 1350 нс</w:t>
            </w:r>
          </w:p>
        </w:tc>
        <w:tc>
          <w:tcPr>
            <w:tcW w:type="dxa" w:w="415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Унаследовано; сверить с IPM и осциллограммой</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Номинальное Udc</w:t>
            </w:r>
          </w:p>
        </w:tc>
        <w:tc>
          <w:tcPr>
            <w:tcW w:type="dxa" w:w="288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325 В</w:t>
            </w:r>
          </w:p>
        </w:tc>
        <w:tc>
          <w:tcPr>
            <w:tcW w:type="dxa" w:w="415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Унаследованная расчётная настройка</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Порог перенапряжения</w:t>
            </w:r>
          </w:p>
        </w:tc>
        <w:tc>
          <w:tcPr>
            <w:tcW w:type="dxa" w:w="288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390 В</w:t>
            </w:r>
          </w:p>
        </w:tc>
        <w:tc>
          <w:tcPr>
            <w:tcW w:type="dxa" w:w="415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IOC/drive_parameters.h; аппаратно не проверен</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Порог пониженного Udc</w:t>
            </w:r>
          </w:p>
        </w:tc>
        <w:tc>
          <w:tcPr>
            <w:tcW w:type="dxa" w:w="288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10 В</w:t>
            </w:r>
          </w:p>
        </w:tc>
        <w:tc>
          <w:tcPr>
            <w:tcW w:type="dxa" w:w="415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IOC/drive_parameters.h; проверить назначение</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Низкочастотная добавка</w:t>
            </w:r>
          </w:p>
        </w:tc>
        <w:tc>
          <w:tcPr>
            <w:tcW w:type="dxa" w:w="288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20 В до порога 10 Гц</w:t>
            </w:r>
          </w:p>
        </w:tc>
        <w:tc>
          <w:tcPr>
            <w:tcW w:type="dxa" w:w="415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 настроена для целевого двигателя</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Сопротивление статора Rs</w:t>
            </w:r>
          </w:p>
        </w:tc>
        <w:tc>
          <w:tcPr>
            <w:tcW w:type="dxa" w:w="288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IOC 2,85 Ом; header 0,35 Ом</w:t>
            </w:r>
          </w:p>
        </w:tc>
        <w:tc>
          <w:tcPr>
            <w:tcW w:type="dxa" w:w="415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Противоречие; измерить до FOC</w:t>
            </w:r>
          </w:p>
        </w:tc>
      </w:tr>
    </w:tbl>
    <w:p>
      <w:pPr>
        <w:pStyle w:val="Heading2"/>
      </w:pPr>
      <w:r>
        <w:rPr>
          <w:rFonts w:ascii="Times New Roman" w:hAnsi="Times New Roman" w:eastAsia="Times New Roman" w:cs="Times New Roman"/>
          <w:lang w:val="ru-RU" w:eastAsia="ru-RU" w:bidi="ru-RU"/>
          <w:color w:val="000000"/>
        </w:rPr>
        <w:t>3.3 Контракт связи UNO Q — Nucleo</w:t>
      </w:r>
    </w:p>
    <w:p>
      <w:pPr/>
      <w:r>
        <w:rPr>
          <w:rFonts w:ascii="Times New Roman" w:hAnsi="Times New Roman" w:eastAsia="Times New Roman" w:cs="Times New Roman"/>
          <w:i w:val="0"/>
          <w:sz w:val="28"/>
          <w:lang w:val="ru-RU" w:eastAsia="ru-RU" w:bidi="ru-RU"/>
          <w:color w:val="000000"/>
        </w:rPr>
        <w:t>Физическое соединение выполняется прямым UART 3,3 В внутри закрытого HOT-корпуса: UNO D1/Serial1 TX соединяется с PB7/USART1_RX, а PB6/USART1_TX — с UNO D0/Serial1 RX. Земли UNO Q и Nucleo объединены с HOT_GND, электрически связанной с J7 DC−; шины питания 3,3 В между платами не соединяются. Параметры UART: 115200 бод, 8 бит данных, без чётности, один стоповый бит. При включённой силовой части наружу выходит только Wi-Fi, а USB, ST-Link и измерительные кабели физически отсутствуют. Таблица соединений приведена в приложении Б.</w:t>
      </w:r>
    </w:p>
    <w:p>
      <w:pPr/>
      <w:r>
        <w:rPr>
          <w:rFonts w:ascii="Times New Roman" w:hAnsi="Times New Roman" w:eastAsia="Times New Roman" w:cs="Times New Roman"/>
          <w:i w:val="0"/>
          <w:sz w:val="28"/>
          <w:lang w:val="ru-RU" w:eastAsia="ru-RU" w:bidi="ru-RU"/>
          <w:color w:val="000000"/>
        </w:rPr>
        <w:t>Формат кадра показан на рисунке 3.2, а назначение байтов и проверки приведены в таблице 3.3.</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7" name="Picture 7" title="Рисунок 3.2" descr="Рисунок 3.2 — Структура 32-байтового командного кадра"/>
            <wp:cNvGraphicFramePr>
              <a:graphicFrameLocks noChangeAspect="1"/>
            </wp:cNvGraphicFramePr>
            <a:graphic>
              <a:graphicData uri="http://schemas.openxmlformats.org/drawingml/2006/picture">
                <pic:pic>
                  <pic:nvPicPr>
                    <pic:cNvPr id="0" name="fig07_uart.png"/>
                    <pic:cNvPicPr/>
                  </pic:nvPicPr>
                  <pic:blipFill>
                    <a:blip r:embed="rId16"/>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3.2 — Структура 32-байтового командного кадра</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3.3 — Поля командного кадра версии 0x02</w:t>
      </w:r>
    </w:p>
    <w:tbl>
      <w:tblPr>
        <w:tblStyle w:val="TableGrid"/>
        <w:tblW w:type="dxa" w:w="9921"/>
        <w:tblLayout w:type="fixed"/>
        <w:tblLook w:firstColumn="1" w:firstRow="1" w:lastColumn="0" w:lastRow="0" w:noHBand="0" w:noVBand="1" w:val="04A0"/>
        <w:tblInd w:w="0" w:type="dxa"/>
      </w:tblPr>
      <w:tblGrid>
        <w:gridCol w:w="1441"/>
        <w:gridCol w:w="4941"/>
        <w:gridCol w:w="3539"/>
      </w:tblGrid>
      <w:tr>
        <w:trPr>
          <w:tblHeader w:val="true"/>
          <w:cantSplit/>
        </w:trPr>
        <w:tc>
          <w:tcPr>
            <w:tcW w:type="dxa" w:w="144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Байты</w:t>
            </w:r>
          </w:p>
        </w:tc>
        <w:tc>
          <w:tcPr>
            <w:tcW w:type="dxa" w:w="494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Содержание</w:t>
            </w:r>
          </w:p>
        </w:tc>
        <w:tc>
          <w:tcPr>
            <w:tcW w:type="dxa" w:w="3539"/>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Проверка</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0-1</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AA 55</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Синхронизация</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2</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0x02</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Точное совпадение версии</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3</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0x01 START; 0x08 CLEAR; 0x02 ESTOP</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Взаимоисключающие команды</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4</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3 SCALAR; 0 OFF</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Иные режимы запрещены</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5</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sequence</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Возвращается в ответе</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6-9</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частота, mHz, little-endian</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START: 1-50000 mHz</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10-13</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историческая амплитуда</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Игнорируется MCSDK</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14-30</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резерв</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Только нули</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31</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XOR CRC</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XOR байтов 0-30</w:t>
            </w:r>
          </w:p>
        </w:tc>
      </w:tr>
    </w:tbl>
    <w:p>
      <w:pPr/>
      <w:r>
        <w:rPr>
          <w:rFonts w:ascii="Times New Roman" w:hAnsi="Times New Roman" w:eastAsia="Times New Roman" w:cs="Times New Roman"/>
          <w:i w:val="0"/>
          <w:sz w:val="28"/>
          <w:lang w:val="ru-RU" w:eastAsia="ru-RU" w:bidi="ru-RU"/>
          <w:color w:val="000000"/>
        </w:rPr>
        <w:t>При неверной версии, CRC, режиме, ненулевом резерве, частоте выше лимита, E-stop или тишине более 300 мс адаптер вызывает MC_StopMotor1() и защёлкивает отказ. Снятие отказа допускается только чистым кадром CLEAR. Поля токов, температуры и энкодера в текущем ответе равны нулю, поскольку не согласован отдельный формат телеметрии. Выдуманные измерения не передаются.</w:t>
      </w:r>
    </w:p>
    <w:p>
      <w:pPr>
        <w:pStyle w:val="Heading2"/>
      </w:pPr>
      <w:r>
        <w:rPr>
          <w:rFonts w:ascii="Times New Roman" w:hAnsi="Times New Roman" w:eastAsia="Times New Roman" w:cs="Times New Roman"/>
          <w:lang w:val="ru-RU" w:eastAsia="ru-RU" w:bidi="ru-RU"/>
          <w:color w:val="000000"/>
        </w:rPr>
        <w:t>3.4 Безопасное состояние и аппаратные защиты</w:t>
      </w:r>
    </w:p>
    <w:p>
      <w:pPr/>
      <w:r>
        <w:rPr>
          <w:rFonts w:ascii="Times New Roman" w:hAnsi="Times New Roman" w:eastAsia="Times New Roman" w:cs="Times New Roman"/>
          <w:i w:val="0"/>
          <w:sz w:val="28"/>
          <w:lang w:val="ru-RU" w:eastAsia="ru-RU" w:bidi="ru-RU"/>
          <w:color w:val="000000"/>
        </w:rPr>
        <w:t>Переходы между безопасным, готовым, рабочим и аварийным состояниями представлены на рисунке 3.3.</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8" name="Picture 8" title="Рисунок 3.3" descr="Рисунок 3.3 — Автомат безопасного запуска и остановки"/>
            <wp:cNvGraphicFramePr>
              <a:graphicFrameLocks noChangeAspect="1"/>
            </wp:cNvGraphicFramePr>
            <a:graphic>
              <a:graphicData uri="http://schemas.openxmlformats.org/drawingml/2006/picture">
                <pic:pic>
                  <pic:nvPicPr>
                    <pic:cNvPr id="0" name="fig08_states.png"/>
                    <pic:cNvPicPr/>
                  </pic:nvPicPr>
                  <pic:blipFill>
                    <a:blip r:embed="rId17"/>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3.3 — Автомат безопасного запуска и остановки</w:t>
      </w:r>
    </w:p>
    <w:p>
      <w:pPr/>
      <w:r>
        <w:rPr>
          <w:rFonts w:ascii="Times New Roman" w:hAnsi="Times New Roman" w:eastAsia="Times New Roman" w:cs="Times New Roman"/>
          <w:i w:val="0"/>
          <w:sz w:val="28"/>
          <w:lang w:val="ru-RU" w:eastAsia="ru-RU" w:bidi="ru-RU"/>
          <w:color w:val="000000"/>
        </w:rPr>
        <w:t>Безопасное состояние определяется как запрещённая генерация PWM и отсутствие разрешения на силовой пуск. Команда START по пользовательскому протоколу принимается только при валидной связи, допустимой частоте и отсутствии защёлкнутого отказа; известные альтернативные программные пути запуска MCSDK и кнопка PC13 переведены в режим stop-only. Флаг ESTOP в UART является программной командой. Вход break/OCP действует независимо от UART, но отдельная нормально-замкнутая аппаратная цепь E-stop ещё не реализована. При потере связи программный адаптер должен вызвать остановку, а время реакции предстоит измерить на плате.</w:t>
      </w:r>
    </w:p>
    <w:p>
      <w:pPr/>
      <w:r>
        <w:rPr>
          <w:rFonts w:ascii="Times New Roman" w:hAnsi="Times New Roman" w:eastAsia="Times New Roman" w:cs="Times New Roman"/>
          <w:i w:val="0"/>
          <w:sz w:val="28"/>
          <w:lang w:val="ru-RU" w:eastAsia="ru-RU" w:bidi="ru-RU"/>
          <w:color w:val="000000"/>
        </w:rPr>
        <w:t>Архивная схема hardware/mic_ai_rev2 относится к Blue Pill и не используется для монтажа. Для NUCLEO-G431RB — IHM09M2 — IPM15B выпущен документ MIC_AI_NUCLEO_SYSTEM_WIRING.pdf с полным соответствием FC-34P, питанием, двигателем, AS5600 и автономным Wi-Fi-контуром. Физическая приёмка монтажа, аппаратного E-stop и силовой части остаётся отдельным HIL-этапом.</w:t>
      </w:r>
    </w:p>
    <w:p>
      <w:pPr/>
      <w:r>
        <w:rPr>
          <w:rFonts w:ascii="Times New Roman" w:hAnsi="Times New Roman" w:eastAsia="Times New Roman" w:cs="Times New Roman"/>
          <w:i w:val="0"/>
          <w:sz w:val="28"/>
          <w:lang w:val="ru-RU" w:eastAsia="ru-RU" w:bidi="ru-RU"/>
          <w:color w:val="000000"/>
        </w:rPr>
        <w:t>Внешний soft-start автономен и не имеет управляющего выхода Nucleo. Программный запуск разрешается только после подтверждения устойчивой Udc, отсутствия fault/E-stop, валидной температуры, исправной UART-связи и фактического состояния PWM; тайм-ауты защёлкивают остановку. Аппаратная HIL-проверка этих условий ещё не завершена, поэтому release-gate не присваивает статус hardware_validated.</w:t>
      </w:r>
    </w:p>
    <w:p>
      <w:pPr/>
      <w:r>
        <w:rPr>
          <w:rFonts w:ascii="Times New Roman" w:hAnsi="Times New Roman" w:eastAsia="Times New Roman" w:cs="Times New Roman"/>
          <w:i w:val="0"/>
          <w:sz w:val="28"/>
          <w:lang w:val="ru-RU" w:eastAsia="ru-RU" w:bidi="ru-RU"/>
          <w:color w:val="000000"/>
        </w:rPr>
        <w:t>Работы со звеном около 310 В DC требуют изолированного источника или штатного ЛАТР с защитой, предохранителей, разрядного резистора, закрытого корпуса, дистанционного аварийного отключения и проверки отсутствия напряжения перед касанием. Программная проверка не снижает электрическую опасность; структура защит и испытаний должна учитывать руководство силовой платы и применимые принципы IEC 61800 [21, 27, 28]. Принципы построения safety case сопоставляются с ISO 26262 только методически [30]; этот стандарт не подменяет железнодорожные нормативы.</w:t>
      </w:r>
    </w:p>
    <w:p>
      <w:pPr>
        <w:pStyle w:val="Heading2"/>
      </w:pPr>
      <w:r>
        <w:rPr>
          <w:rFonts w:ascii="Times New Roman" w:hAnsi="Times New Roman" w:eastAsia="Times New Roman" w:cs="Times New Roman"/>
          <w:lang w:val="ru-RU" w:eastAsia="ru-RU" w:bidi="ru-RU"/>
          <w:color w:val="000000"/>
        </w:rPr>
        <w:t>3.5 Сборка, хэширование и управление конфигурацией</w:t>
      </w:r>
    </w:p>
    <w:p>
      <w:pPr/>
      <w:r>
        <w:rPr>
          <w:rFonts w:ascii="Times New Roman" w:hAnsi="Times New Roman" w:eastAsia="Times New Roman" w:cs="Times New Roman"/>
          <w:i w:val="0"/>
          <w:sz w:val="28"/>
          <w:lang w:val="ru-RU" w:eastAsia="ru-RU" w:bidi="ru-RU"/>
          <w:color w:val="000000"/>
        </w:rPr>
        <w:t>Команда tools/build_firmware_bundle.ps1 собирает Nucleo и UNO Q, выполняет профильные проверки, формирует манифесты и сверяет SHA-256. Для Nucleo сохраняются ELF, BIN и HEX; для UNO Q дополнительно создаётся upload-payload *.elf-zsk.bin. Манифесты текущей версии подтверждают состав, размер и целостность готовых файлов, но ещё не содержат хэши профиля, исходников, Git commit, компилятора и команды сборки; следовательно, они не являются полной цепочкой происхождения.</w:t>
      </w:r>
    </w:p>
    <w:p>
      <w:pPr/>
      <w:r>
        <w:rPr>
          <w:rFonts w:ascii="Times New Roman" w:hAnsi="Times New Roman" w:eastAsia="Times New Roman" w:cs="Times New Roman"/>
          <w:i w:val="0"/>
          <w:sz w:val="28"/>
          <w:lang w:val="ru-RU" w:eastAsia="ru-RU" w:bidi="ru-RU"/>
          <w:color w:val="000000"/>
        </w:rPr>
        <w:t>Минимальный набор фиксируемых сведений приведён в таблице 3.4.</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3.4 — Правила воспроизводимости</w:t>
      </w:r>
    </w:p>
    <w:tbl>
      <w:tblPr>
        <w:tblStyle w:val="TableGrid"/>
        <w:tblW w:type="dxa" w:w="9921"/>
        <w:tblLayout w:type="fixed"/>
        <w:tblLook w:firstColumn="1" w:firstRow="1" w:lastColumn="0" w:lastRow="0" w:noHBand="0" w:noVBand="1" w:val="04A0"/>
        <w:tblInd w:w="0" w:type="dxa"/>
      </w:tblPr>
      <w:tblGrid>
        <w:gridCol w:w="1956"/>
        <w:gridCol w:w="4426"/>
        <w:gridCol w:w="3539"/>
      </w:tblGrid>
      <w:tr>
        <w:trPr>
          <w:tblHeader w:val="true"/>
          <w:cantSplit/>
        </w:trPr>
        <w:tc>
          <w:tcPr>
            <w:tcW w:type="dxa" w:w="195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Объект</w:t>
            </w:r>
          </w:p>
        </w:tc>
        <w:tc>
          <w:tcPr>
            <w:tcW w:type="dxa" w:w="442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Обязательная фиксация</w:t>
            </w:r>
          </w:p>
        </w:tc>
        <w:tc>
          <w:tcPr>
            <w:tcW w:type="dxa" w:w="3539"/>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Причина</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Двигатель</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Марка, фото шильдика, схема Δ/Y</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Снизить риск чужого профиля</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MCSDK-проект</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Версии MCSDK/CubeMX/CubeG4</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Повторяемая генерация</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Прошивка</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Размер и SHA-256</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Однозначность образа</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Протокол</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Версия и тестовые векторы</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Совместимость узлов</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Эксперимент</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Сценарий, seed, режим, калибровка</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Повторяемость результата</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Результат</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Сырые данные и отчёт</w:t>
            </w:r>
          </w:p>
        </w:tc>
        <w:tc>
          <w:tcPr>
            <w:tcW w:type="dxa" w:w="35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Проверяемость вывода</w:t>
            </w:r>
          </w:p>
        </w:tc>
      </w:tr>
    </w:tbl>
    <w:p>
      <w:pPr>
        <w:pStyle w:val="Heading2"/>
      </w:pPr>
      <w:r>
        <w:rPr>
          <w:rFonts w:ascii="Times New Roman" w:hAnsi="Times New Roman" w:eastAsia="Times New Roman" w:cs="Times New Roman"/>
          <w:lang w:val="ru-RU" w:eastAsia="ru-RU" w:bidi="ru-RU"/>
          <w:color w:val="000000"/>
        </w:rPr>
        <w:t>3.6 Готовность к расширению</w:t>
      </w:r>
    </w:p>
    <w:p>
      <w:pPr/>
      <w:r>
        <w:rPr>
          <w:rFonts w:ascii="Times New Roman" w:hAnsi="Times New Roman" w:eastAsia="Times New Roman" w:cs="Times New Roman"/>
          <w:i w:val="0"/>
          <w:sz w:val="28"/>
          <w:lang w:val="ru-RU" w:eastAsia="ru-RU" w:bidi="ru-RU"/>
          <w:color w:val="000000"/>
        </w:rPr>
        <w:t>Переход к FOC выполняется после идентификации параметров и сохранения отдельного профиля. Добавление датчика положения AS5600 возможно как исследовательского канала низкой скорости, однако он не должен автоматически считаться тяговым датчиком. Для оценки бездатчикового алгоритма желательно иметь независимый эталонный энкодер.</w:t>
      </w:r>
    </w:p>
    <w:p>
      <w:pPr/>
      <w:r>
        <w:rPr>
          <w:rFonts w:ascii="Times New Roman" w:hAnsi="Times New Roman" w:eastAsia="Times New Roman" w:cs="Times New Roman"/>
          <w:i w:val="0"/>
          <w:sz w:val="28"/>
          <w:lang w:val="ru-RU" w:eastAsia="ru-RU" w:bidi="ru-RU"/>
          <w:color w:val="000000"/>
        </w:rPr>
        <w:t>UNO Q может выполнять предобработку данных, обучение малой модели, планирование тестов и адаптацию медленных параметров. Быстрый токовый контур и защита остаются на STM32G431. Такая декомпозиция позволяет добавлять функции без изменения временных гарантий MCSDK.</w:t>
      </w:r>
    </w:p>
    <w:p>
      <w:pPr>
        <w:pStyle w:val="Heading2"/>
      </w:pPr>
      <w:r>
        <w:rPr>
          <w:rFonts w:ascii="Times New Roman" w:hAnsi="Times New Roman" w:eastAsia="Times New Roman" w:cs="Times New Roman"/>
          <w:lang w:val="ru-RU" w:eastAsia="ru-RU" w:bidi="ru-RU"/>
          <w:color w:val="000000"/>
        </w:rPr>
        <w:t>3.7 Выводы по главе 3</w:t>
      </w:r>
    </w:p>
    <w:p>
      <w:pPr/>
      <w:r>
        <w:rPr>
          <w:rFonts w:ascii="Times New Roman" w:hAnsi="Times New Roman" w:eastAsia="Times New Roman" w:cs="Times New Roman"/>
          <w:i w:val="0"/>
          <w:sz w:val="28"/>
          <w:lang w:val="ru-RU" w:eastAsia="ru-RU" w:bidi="ru-RU"/>
          <w:color w:val="000000"/>
        </w:rPr>
        <w:t>Разработка программно-аппаратной платформы дала следующие результаты:</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сформирован логический проект цепочки NUCLEO-G431RB, X-NUCLEO-IHM09M2, STEVAL-IPM15B и АИР56В2 с разделением быстрого и верхнего уровней; физическая совместимость монтажа ещё не подтверждена;</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числовая часть V/f-конфигурации согласована с каталожным профилем и программно ограничена частотой 50 Гц; происхождение данных конкретного экземпляра ещё не приложено;</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программный UART-контракт версии 0x02 и схема будущей изоляции запрещают режимы FOC и DUTY, контролируют CRC, резервные поля и тайм-аут 300 мс;</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сборочные артефакты идентифицированы размерами и SHA-256; для доказательства происхождения требуется добавить хэши профиля, исходников и toolchain;</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5. аппаратный E-stop, предзаряд, реальные сигналы break/OCP и параметры двигателя для FOC остаются открытыми gate-условиями силового запуска.</w:t>
      </w:r>
    </w:p>
    <w:p>
      <w:pPr/>
      <w:r>
        <w:rPr>
          <w:rFonts w:ascii="Times New Roman" w:hAnsi="Times New Roman" w:eastAsia="Times New Roman" w:cs="Times New Roman"/>
          <w:i w:val="0"/>
          <w:sz w:val="28"/>
          <w:lang w:val="ru-RU" w:eastAsia="ru-RU" w:bidi="ru-RU"/>
          <w:color w:val="000000"/>
        </w:rPr>
        <w:t>Следовательно, на текущем этапе подготовлены программная конфигурация, контракт взаимодействия и выпущенная многостраничная схема соединений Nucleo/IHM09M2/IPM15B/UNO Q, но платформа ещё не проверена физически. Первый аппаратный цикл должен подтвердить ревизии плат, ориентацию 34-контактного кабеля, фактическую распиновку, уровни 3,3 В и отсутствие конфликта UART с отладочными функциями.</w:t>
      </w:r>
    </w:p>
    <w:p>
      <w:pPr/>
      <w:r>
        <w:rPr>
          <w:rFonts w:ascii="Times New Roman" w:hAnsi="Times New Roman" w:eastAsia="Times New Roman" w:cs="Times New Roman"/>
          <w:i w:val="0"/>
          <w:sz w:val="28"/>
          <w:lang w:val="ru-RU" w:eastAsia="ru-RU" w:bidi="ru-RU"/>
          <w:color w:val="000000"/>
        </w:rPr>
        <w:t>До подачи напряжения звена требуется устранить расхождение обозначения корпуса STM32G431 в IOC, реализовать предзаряд и разряд, проверить аппаратный break и OCP, а затем повторно сформировать комплект артефактов с журналом сборки. Эти условия перенесены в gate-критерии главы 5 и чек-лист приложения Г.</w:t>
      </w:r>
    </w:p>
    <w:p>
      <w:pPr>
        <w:pStyle w:val="Heading1"/>
      </w:pPr>
      <w:r>
        <w:rPr>
          <w:rFonts w:ascii="Times New Roman" w:hAnsi="Times New Roman" w:eastAsia="Times New Roman" w:cs="Times New Roman"/>
          <w:lang w:val="ru-RU" w:eastAsia="ru-RU" w:bidi="ru-RU"/>
          <w:color w:val="000000"/>
        </w:rPr>
        <w:t>4 КОНЦЕПЦИЯ МЕТОДА ОГРАНИЧЕННОЙ ИНТЕЛЛЕКТУАЛЬНОЙ АДАПТАЦИИ FOC</w:t>
      </w:r>
    </w:p>
    <w:p>
      <w:pPr>
        <w:pStyle w:val="Heading2"/>
      </w:pPr>
      <w:r>
        <w:rPr>
          <w:rFonts w:ascii="Times New Roman" w:hAnsi="Times New Roman" w:eastAsia="Times New Roman" w:cs="Times New Roman"/>
          <w:lang w:val="ru-RU" w:eastAsia="ru-RU" w:bidi="ru-RU"/>
          <w:color w:val="000000"/>
        </w:rPr>
        <w:t>4.1 Иерархическая организация управления</w:t>
      </w:r>
    </w:p>
    <w:p>
      <w:pPr/>
      <w:r>
        <w:rPr>
          <w:rFonts w:ascii="Times New Roman" w:hAnsi="Times New Roman" w:eastAsia="Times New Roman" w:cs="Times New Roman"/>
          <w:i w:val="0"/>
          <w:sz w:val="28"/>
          <w:lang w:val="ru-RU" w:eastAsia="ru-RU" w:bidi="ru-RU"/>
          <w:color w:val="000000"/>
        </w:rPr>
        <w:t>Предлагаемый метод разделяет вычисления по критичности и характерному времени. В предлагаемой архитектуре нижний уровень должен реализовать FOC, SVPWM, синхронную выборку токов, break и watchdog на STM32G431. Средний уровень должен оценивать медленно изменяющиеся параметры и корректировать ограниченный набор коэффициентов. Верхний уровень UNO Q предназначен для обучения моделей, анализа серий опытов и формирования предложений, которые не становятся действием без проверки.</w:t>
      </w:r>
    </w:p>
    <w:p>
      <w:pPr/>
      <w:r>
        <w:rPr>
          <w:rFonts w:ascii="Times New Roman" w:hAnsi="Times New Roman" w:eastAsia="Times New Roman" w:cs="Times New Roman"/>
          <w:i w:val="0"/>
          <w:sz w:val="28"/>
          <w:lang w:val="ru-RU" w:eastAsia="ru-RU" w:bidi="ru-RU"/>
          <w:color w:val="000000"/>
        </w:rPr>
        <w:t>Иерархия вычислительных уровней и направленность ограниченных команд представлены на рисунке 4.1.</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9" name="Picture 9" title="Рисунок 4.1" descr="Рисунок 4.1 — Три уровня предлагаемой системы управления"/>
            <wp:cNvGraphicFramePr>
              <a:graphicFrameLocks noChangeAspect="1"/>
            </wp:cNvGraphicFramePr>
            <a:graphic>
              <a:graphicData uri="http://schemas.openxmlformats.org/drawingml/2006/picture">
                <pic:pic>
                  <pic:nvPicPr>
                    <pic:cNvPr id="0" name="fig09_hierarchy.png"/>
                    <pic:cNvPicPr/>
                  </pic:nvPicPr>
                  <pic:blipFill>
                    <a:blip r:embed="rId18"/>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4.1 — Три уровня предлагаемой системы управления</w:t>
      </w:r>
    </w:p>
    <w:p>
      <w:pPr/>
      <w:r>
        <w:rPr>
          <w:rFonts w:ascii="Times New Roman" w:hAnsi="Times New Roman" w:eastAsia="Times New Roman" w:cs="Times New Roman"/>
          <w:i w:val="0"/>
          <w:sz w:val="28"/>
          <w:lang w:val="ru-RU" w:eastAsia="ru-RU" w:bidi="ru-RU"/>
          <w:color w:val="000000"/>
        </w:rPr>
        <w:t>Такая архитектура отличается от прямого нейросетевого PWM тем, что обучаемая модель не является единственным источником устойчивости. При низкой уверенности, выходе за область обучения, превышении времени расчёта или конфликте ограничений используется классический FOC-SVPWM. Переход на fallback фиксируется как отдельная метрика.</w:t>
      </w:r>
    </w:p>
    <w:p>
      <w:pPr>
        <w:pStyle w:val="Heading2"/>
      </w:pPr>
      <w:r>
        <w:rPr>
          <w:rFonts w:ascii="Times New Roman" w:hAnsi="Times New Roman" w:eastAsia="Times New Roman" w:cs="Times New Roman"/>
          <w:lang w:val="ru-RU" w:eastAsia="ru-RU" w:bidi="ru-RU"/>
          <w:color w:val="000000"/>
        </w:rPr>
        <w:t>4.2 Адаптация параметров модели и регуляторов</w:t>
      </w:r>
    </w:p>
    <w:p>
      <w:pPr/>
      <w:r>
        <w:rPr>
          <w:rFonts w:ascii="Times New Roman" w:hAnsi="Times New Roman" w:eastAsia="Times New Roman" w:cs="Times New Roman"/>
          <w:i w:val="0"/>
          <w:sz w:val="28"/>
          <w:lang w:val="ru-RU" w:eastAsia="ru-RU" w:bidi="ru-RU"/>
          <w:color w:val="000000"/>
        </w:rPr>
        <w:t>Сопротивления и индуктивности влияют на оценку потока и развязку токовых каналов. Вектор параметров θ=[Rs, Rr, Lm, Lσ, J, B] оценивается по измеренным напряжениям, токам и скорости в разрешённых режимах. Допустимое множество Θ задаётся покомпонентными интервалами, полученными из идентификации и оценки неопределённости, а не произвольными процентами. Обновление не должно быть быстрее физически возможного изменения параметра.</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γk = 1{rk&gt;rmin ∧ μk&gt;μmin ∧ ck&gt;cmin ∧ Δtk&gt;tdwell};   θk+1 = ProjΘ{θk + γkKkrk}</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(4.1)</w:t>
            </w:r>
          </w:p>
        </w:tc>
      </w:tr>
    </w:tbl>
    <w:p>
      <w:pPr/>
      <w:r>
        <w:rPr>
          <w:rFonts w:ascii="Times New Roman" w:hAnsi="Times New Roman" w:eastAsia="Times New Roman" w:cs="Times New Roman"/>
          <w:i w:val="0"/>
          <w:sz w:val="28"/>
          <w:lang w:val="ru-RU" w:eastAsia="ru-RU" w:bidi="ru-RU"/>
          <w:color w:val="000000"/>
        </w:rPr>
        <w:t>Событие обновления γk разрешается только при нормированном остатке rk выше порога чувствительности, достаточной информативности μk регрессионной матрицы, доверии ck и выдержанном интервале tdwell. Матрица Kk должна вычисляться ограниченным RLS- или градиентным законом с нормированием и максимальным шагом; конкретный вариант и численные пороги определяются после идентификации стенда. При нарушении любого условия γk=0 и оценка замораживается.</w:t>
      </w:r>
    </w:p>
    <w:p>
      <w:pPr/>
      <w:r>
        <w:rPr>
          <w:rFonts w:ascii="Times New Roman" w:hAnsi="Times New Roman" w:eastAsia="Times New Roman" w:cs="Times New Roman"/>
          <w:i w:val="0"/>
          <w:sz w:val="28"/>
          <w:lang w:val="ru-RU" w:eastAsia="ru-RU" w:bidi="ru-RU"/>
          <w:color w:val="000000"/>
        </w:rPr>
        <w:t>Оператор Proj_Theta обеспечивает инвариант θk∈Θ при θ0∈Θ независимо от необработанного предложения адаптера. Этот простой инвариант не является доказательством устойчивости всей замкнутой системы: до защиты требуется отдельно установить условия ограниченности сигналов и устойчивости FOC с переключаемой оценкой. Коэффициенты PI пересчитываются по проверенным формулам и проходят ограничения по полосе и максимальному управляющему воздействию.</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Kp,i = Lσ ωci;    Ki,i = Req ωci</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(4.2)</w:t>
            </w:r>
          </w:p>
        </w:tc>
      </w:tr>
    </w:tbl>
    <w:p>
      <w:pPr/>
      <w:r>
        <w:rPr>
          <w:rFonts w:ascii="Times New Roman" w:hAnsi="Times New Roman" w:eastAsia="Times New Roman" w:cs="Times New Roman"/>
          <w:i w:val="0"/>
          <w:sz w:val="28"/>
          <w:lang w:val="ru-RU" w:eastAsia="ru-RU" w:bidi="ru-RU"/>
          <w:color w:val="000000"/>
        </w:rPr>
        <w:t>Интеллектуальная модель может формировать поправку к θ или к коэффициентам, но базовая физическая модель сохраняется. Это уменьшает объём требуемых данных и обеспечивает интерпретируемость. Обучение проводится с domain randomization в диапазонах неопределённости, а валидация — на отдельных траекториях и параметрах.</w:t>
      </w:r>
    </w:p>
    <w:p>
      <w:pPr>
        <w:pStyle w:val="Heading2"/>
      </w:pPr>
      <w:r>
        <w:rPr>
          <w:rFonts w:ascii="Times New Roman" w:hAnsi="Times New Roman" w:eastAsia="Times New Roman" w:cs="Times New Roman"/>
          <w:lang w:val="ru-RU" w:eastAsia="ru-RU" w:bidi="ru-RU"/>
          <w:color w:val="000000"/>
        </w:rPr>
        <w:t>4.3 Перспективное расширение: горизонтный выбор векторов</w:t>
      </w:r>
    </w:p>
    <w:p>
      <w:pPr/>
      <w:r>
        <w:rPr>
          <w:rFonts w:ascii="Times New Roman" w:hAnsi="Times New Roman" w:eastAsia="Times New Roman" w:cs="Times New Roman"/>
          <w:i w:val="0"/>
          <w:sz w:val="28"/>
          <w:lang w:val="ru-RU" w:eastAsia="ru-RU" w:bidi="ru-RU"/>
          <w:color w:val="000000"/>
        </w:rPr>
        <w:t>Горизонтный выбор векторов не входит в основной предмет доказывания настоящей работы и рассматривается как перспективное расширение после подтверждения ограниченной адаптации FOC. На каждом шаге формируется конечное множество допустимых последовательностей векторов на горизонте H. Цифровой двойник прогнозирует ток, поток, момент и тепловой прокси. Нейросетевая часть корректирует функцию стоимости или остаточную ошибку модели. Выбирается действие с минимальной стоимостью, прошедшее Safety Gateway.</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uₖ* = arg min {Σ J(x̂ₖ₊ₕ, uₖ₊ₕ₋₁)},    u ∈ Usafe</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(4.3)</w:t>
            </w:r>
          </w:p>
        </w:tc>
      </w:tr>
    </w:tbl>
    <w:p>
      <w:pPr/>
      <w:r>
        <w:rPr>
          <w:rFonts w:ascii="Times New Roman" w:hAnsi="Times New Roman" w:eastAsia="Times New Roman" w:cs="Times New Roman"/>
          <w:i w:val="0"/>
          <w:sz w:val="28"/>
          <w:lang w:val="ru-RU" w:eastAsia="ru-RU" w:bidi="ru-RU"/>
          <w:color w:val="000000"/>
        </w:rPr>
        <w:t>Горизонт H=1 близок к одношаговому FCS-MPC. Увеличение горизонта позволяет учитывать будущие коммутации и ограничения, но экспоненциально увеличивает поиск. Для STM32 возможны предварительное сокращение множества кандидатов, beam search, таблицы переходов или вычисление предложения на UNO Q при сохранении локальной валидации Nucleo.</w:t>
      </w:r>
    </w:p>
    <w:p>
      <w:pPr/>
      <w:r>
        <w:rPr>
          <w:rFonts w:ascii="Times New Roman" w:hAnsi="Times New Roman" w:eastAsia="Times New Roman" w:cs="Times New Roman"/>
          <w:i w:val="0"/>
          <w:sz w:val="28"/>
          <w:lang w:val="ru-RU" w:eastAsia="ru-RU" w:bidi="ru-RU"/>
          <w:color w:val="000000"/>
        </w:rPr>
        <w:t>Коммутационный штраф должен учитывать не только число переключений, но и состояние плеча, ток в момент переключения и тепловой баланс. При одинаковой ошибке тока предпочтительно действие с меньшими ожидаемыми потерями, если оно не ухудшает устойчивость.</w:t>
      </w:r>
    </w:p>
    <w:p>
      <w:pPr>
        <w:pStyle w:val="Heading2"/>
      </w:pPr>
      <w:r>
        <w:rPr>
          <w:rFonts w:ascii="Times New Roman" w:hAnsi="Times New Roman" w:eastAsia="Times New Roman" w:cs="Times New Roman"/>
          <w:lang w:val="ru-RU" w:eastAsia="ru-RU" w:bidi="ru-RU"/>
          <w:color w:val="000000"/>
        </w:rPr>
        <w:t>4.4 Safety Gateway и проверяемые инварианты</w:t>
      </w:r>
    </w:p>
    <w:p>
      <w:pPr/>
      <w:r>
        <w:rPr>
          <w:rFonts w:ascii="Times New Roman" w:hAnsi="Times New Roman" w:eastAsia="Times New Roman" w:cs="Times New Roman"/>
          <w:i w:val="0"/>
          <w:sz w:val="28"/>
          <w:lang w:val="ru-RU" w:eastAsia="ru-RU" w:bidi="ru-RU"/>
          <w:color w:val="000000"/>
        </w:rPr>
        <w:t>Safety Gateway проектируется как логически обособленный детерминированный модуль с неизменяемой во время опыта логикой проверок и параметрами конкретной силовой платы. Его программная обособленность не означает независимость по общему питанию, тактированию, памяти или отказам микроконтроллера. Входом служат предложенный вектор, текущее состояние, измерения и таймеры; выходом — принятое действие, fallback или отключение. Таблица решений и fault-injection являются тестовым покрытием, но не заменяют формального доказательства модели состояний.</w:t>
      </w:r>
    </w:p>
    <w:p>
      <w:pPr/>
      <w:r>
        <w:rPr>
          <w:rFonts w:ascii="Times New Roman" w:hAnsi="Times New Roman" w:eastAsia="Times New Roman" w:cs="Times New Roman"/>
          <w:i w:val="0"/>
          <w:sz w:val="28"/>
          <w:lang w:val="ru-RU" w:eastAsia="ru-RU" w:bidi="ru-RU"/>
          <w:color w:val="000000"/>
        </w:rPr>
        <w:t>Перечень инвариантов, условий контроля и реакций приведён в таблице 4.1.</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4.1 — Основные инварианты Safety Gateway</w:t>
      </w:r>
    </w:p>
    <w:tbl>
      <w:tblPr>
        <w:tblStyle w:val="TableGrid"/>
        <w:tblW w:type="dxa" w:w="9921"/>
        <w:tblLayout w:type="fixed"/>
        <w:tblLook w:firstColumn="1" w:firstRow="1" w:lastColumn="0" w:lastRow="0" w:noHBand="0" w:noVBand="1" w:val="04A0"/>
        <w:tblInd w:w="0" w:type="dxa"/>
      </w:tblPr>
      <w:tblGrid>
        <w:gridCol w:w="2676"/>
        <w:gridCol w:w="4323"/>
        <w:gridCol w:w="2922"/>
      </w:tblGrid>
      <w:tr>
        <w:trPr>
          <w:tblHeader w:val="true"/>
          <w:cantSplit/>
        </w:trPr>
        <w:tc>
          <w:tcPr>
            <w:tcW w:type="dxa" w:w="267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Инвариант</w:t>
            </w:r>
          </w:p>
        </w:tc>
        <w:tc>
          <w:tcPr>
            <w:tcW w:type="dxa" w:w="432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Условие</w:t>
            </w:r>
          </w:p>
        </w:tc>
        <w:tc>
          <w:tcPr>
            <w:tcW w:type="dxa" w:w="2922"/>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Реакция</w:t>
            </w:r>
          </w:p>
        </w:tc>
      </w:tr>
      <w:tr>
        <w:trPr>
          <w:cantSplit/>
        </w:trPr>
        <w:tc>
          <w:tcPr>
            <w:tcW w:type="dxa" w:w="267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Нет сквозного тока</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Верхний и нижний ключ плеча не включены вместе</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Отклонить; latch fault</w:t>
            </w:r>
          </w:p>
        </w:tc>
      </w:tr>
      <w:tr>
        <w:trPr>
          <w:cantSplit/>
        </w:trPr>
        <w:tc>
          <w:tcPr>
            <w:tcW w:type="dxa" w:w="267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Dead-time</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Переход выдерживает минимальную паузу</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Отложить или fallback</w:t>
            </w:r>
          </w:p>
        </w:tc>
      </w:tr>
      <w:tr>
        <w:trPr>
          <w:cantSplit/>
        </w:trPr>
        <w:tc>
          <w:tcPr>
            <w:tcW w:type="dxa" w:w="267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Ток</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|iphase| ≤ Imax</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Отключить PWM; OCP</w:t>
            </w:r>
          </w:p>
        </w:tc>
      </w:tr>
      <w:tr>
        <w:trPr>
          <w:cantSplit/>
        </w:trPr>
        <w:tc>
          <w:tcPr>
            <w:tcW w:type="dxa" w:w="267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Напряжение</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Udc в допустимом диапазоне</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Запрет пуска/останов</w:t>
            </w:r>
          </w:p>
        </w:tc>
      </w:tr>
      <w:tr>
        <w:trPr>
          <w:cantSplit/>
        </w:trPr>
        <w:tc>
          <w:tcPr>
            <w:tcW w:type="dxa" w:w="267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Температура</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Tj,est ≤ Tmax</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Деградация/останов</w:t>
            </w:r>
          </w:p>
        </w:tc>
      </w:tr>
      <w:tr>
        <w:trPr>
          <w:cantSplit/>
        </w:trPr>
        <w:tc>
          <w:tcPr>
            <w:tcW w:type="dxa" w:w="267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Время</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Расчёт завершён до deadline</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Классический SVPWM</w:t>
            </w:r>
          </w:p>
        </w:tc>
      </w:tr>
      <w:tr>
        <w:trPr>
          <w:cantSplit/>
        </w:trPr>
        <w:tc>
          <w:tcPr>
            <w:tcW w:type="dxa" w:w="267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Доверие</w:t>
            </w:r>
          </w:p>
        </w:tc>
        <w:tc>
          <w:tcPr>
            <w:tcW w:type="dxa" w:w="432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x внутри области валидации</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Заморозить ИИ-адаптацию</w:t>
            </w:r>
          </w:p>
        </w:tc>
      </w:tr>
    </w:tbl>
    <w:p>
      <w:pPr/>
      <w:r>
        <w:rPr>
          <w:rFonts w:ascii="Times New Roman" w:hAnsi="Times New Roman" w:eastAsia="Times New Roman" w:cs="Times New Roman"/>
          <w:i w:val="0"/>
          <w:sz w:val="28"/>
          <w:lang w:val="ru-RU" w:eastAsia="ru-RU" w:bidi="ru-RU"/>
          <w:color w:val="000000"/>
        </w:rPr>
        <w:t>Инварианты проверяются до применения действия. Даже если алгоритм выдаёт недопустимый необработанный запрос, шлюз обязан предотвратить его передачу в PWM. Отдельно тестируется способность детектора увидеть искусственно введённый запрос сквозного тока и нарушение dead-time, иначе отсутствие инцидентов может означать лишь отсутствие действенного теста.</w:t>
      </w:r>
    </w:p>
    <w:p>
      <w:pPr>
        <w:pStyle w:val="Heading2"/>
      </w:pPr>
      <w:r>
        <w:rPr>
          <w:rFonts w:ascii="Times New Roman" w:hAnsi="Times New Roman" w:eastAsia="Times New Roman" w:cs="Times New Roman"/>
          <w:lang w:val="ru-RU" w:eastAsia="ru-RU" w:bidi="ru-RU"/>
          <w:color w:val="000000"/>
        </w:rPr>
        <w:t>4.5 Цифровой двойник и цикл обучения</w:t>
      </w:r>
    </w:p>
    <w:p>
      <w:pPr/>
      <w:r>
        <w:rPr>
          <w:rFonts w:ascii="Times New Roman" w:hAnsi="Times New Roman" w:eastAsia="Times New Roman" w:cs="Times New Roman"/>
          <w:i w:val="0"/>
          <w:sz w:val="28"/>
          <w:lang w:val="ru-RU" w:eastAsia="ru-RU" w:bidi="ru-RU"/>
          <w:color w:val="000000"/>
        </w:rPr>
        <w:t>Полный цикл от идентификации до HIL- и стендовой верификации показан на рисунке 4.2.</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10" name="Picture 10" title="Рисунок 4.2" descr="Рисунок 4.2 — Цикл данных, обучения и независимой верификации"/>
            <wp:cNvGraphicFramePr>
              <a:graphicFrameLocks noChangeAspect="1"/>
            </wp:cNvGraphicFramePr>
            <a:graphic>
              <a:graphicData uri="http://schemas.openxmlformats.org/drawingml/2006/picture">
                <pic:pic>
                  <pic:nvPicPr>
                    <pic:cNvPr id="0" name="fig10_ai_pipeline.png"/>
                    <pic:cNvPicPr/>
                  </pic:nvPicPr>
                  <pic:blipFill>
                    <a:blip r:embed="rId19"/>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4.2 — Цикл данных, обучения и независимой верификации</w:t>
      </w:r>
    </w:p>
    <w:p>
      <w:pPr/>
      <w:r>
        <w:rPr>
          <w:rFonts w:ascii="Times New Roman" w:hAnsi="Times New Roman" w:eastAsia="Times New Roman" w:cs="Times New Roman"/>
          <w:i w:val="0"/>
          <w:sz w:val="28"/>
          <w:lang w:val="ru-RU" w:eastAsia="ru-RU" w:bidi="ru-RU"/>
          <w:color w:val="000000"/>
        </w:rPr>
        <w:t>Цифровой двойник состоит из физической dq-модели и ограниченной остаточной коррекции. В архивном host-эксперименте контекст включал состояние, выбранный вектор, напряжение αβ, оценку нагрузки, токовый прокси и параметры θ. Обучающая выборка формировалась при случайном изменении Rs и Rr на ±50 %, Lm на ±20 %, J и B на ±100 %.</w:t>
      </w:r>
    </w:p>
    <w:p>
      <w:pPr/>
      <w:r>
        <w:rPr>
          <w:rFonts w:ascii="Times New Roman" w:hAnsi="Times New Roman" w:eastAsia="Times New Roman" w:cs="Times New Roman"/>
          <w:i w:val="0"/>
          <w:sz w:val="28"/>
          <w:lang w:val="ru-RU" w:eastAsia="ru-RU" w:bidi="ru-RU"/>
          <w:color w:val="000000"/>
        </w:rPr>
        <w:t>Валидационная метрика остаточного слоя показала небольшое улучшение многошагового прогноза, но ухудшение одношагового RMSE. Поэтому остаточный слой не объявляется готовым; более надёжным результатом остаётся θ-conditioned физический двойник. Этот отрицательный результат важен: он показывает необходимость отбора модели по нескольким горизонтам, а не по одной метрике.</w:t>
      </w:r>
    </w:p>
    <w:p>
      <w:pPr/>
      <w:r>
        <w:rPr>
          <w:rFonts w:ascii="Times New Roman" w:hAnsi="Times New Roman" w:eastAsia="Times New Roman" w:cs="Times New Roman"/>
          <w:i w:val="0"/>
          <w:sz w:val="28"/>
          <w:lang w:val="ru-RU" w:eastAsia="ru-RU" w:bidi="ru-RU"/>
          <w:color w:val="000000"/>
        </w:rPr>
        <w:t>Количественные результаты архивной host-валидации сведены в таблицу 4.2.</w:t>
      </w:r>
    </w:p>
    <w:p>
      <w:pPr>
        <w:keepNext/>
        <w:pageBreakBefore/>
        <w:spacing w:before="180" w:after="60"/>
        <w:ind w:firstLine="0"/>
      </w:pPr>
      <w:r>
        <w:rPr>
          <w:rFonts w:ascii="Times New Roman" w:hAnsi="Times New Roman" w:eastAsia="Times New Roman" w:cs="Times New Roman"/>
          <w:sz w:val="24"/>
          <w:lang w:val="ru-RU" w:eastAsia="ru-RU" w:bidi="ru-RU"/>
          <w:color w:val="000000"/>
        </w:rPr>
        <w:t>Таблица 4.2 — Результаты архивной host-валидации цифрового двойника</w:t>
      </w:r>
    </w:p>
    <w:tbl>
      <w:tblPr>
        <w:tblStyle w:val="TableGrid"/>
        <w:tblW w:type="dxa" w:w="9921"/>
        <w:tblLayout w:type="fixed"/>
        <w:tblLook w:firstColumn="1" w:firstRow="1" w:lastColumn="0" w:lastRow="0" w:noHBand="0" w:noVBand="1" w:val="04A0"/>
        <w:tblInd w:w="0" w:type="dxa"/>
      </w:tblPr>
      <w:tblGrid>
        <w:gridCol w:w="1853"/>
        <w:gridCol w:w="2573"/>
        <w:gridCol w:w="2573"/>
        <w:gridCol w:w="2922"/>
      </w:tblGrid>
      <w:tr>
        <w:trPr>
          <w:tblHeader w:val="true"/>
          <w:cantSplit/>
        </w:trPr>
        <w:tc>
          <w:tcPr>
            <w:tcW w:type="dxa" w:w="185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Горизонт</w:t>
            </w:r>
          </w:p>
        </w:tc>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RMSE модели</w:t>
            </w:r>
          </w:p>
        </w:tc>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RMSE с residual</w:t>
            </w:r>
          </w:p>
        </w:tc>
        <w:tc>
          <w:tcPr>
            <w:tcW w:type="dxa" w:w="2922"/>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Снижение RMSE</w:t>
            </w:r>
          </w:p>
        </w:tc>
      </w:tr>
      <w:tr>
        <w:trPr>
          <w:cantSplit/>
        </w:trPr>
        <w:tc>
          <w:tcPr>
            <w:tcW w:type="dxa" w:w="185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 шаг</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0,001777</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0,001705</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+4,02 %</w:t>
            </w:r>
          </w:p>
        </w:tc>
      </w:tr>
      <w:tr>
        <w:trPr>
          <w:cantSplit/>
        </w:trPr>
        <w:tc>
          <w:tcPr>
            <w:tcW w:type="dxa" w:w="185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5 шагов</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0,007962</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0,007546</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+5,23 %</w:t>
            </w:r>
          </w:p>
        </w:tc>
      </w:tr>
      <w:tr>
        <w:trPr>
          <w:cantSplit/>
        </w:trPr>
        <w:tc>
          <w:tcPr>
            <w:tcW w:type="dxa" w:w="185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10 шагов</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0,014152</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0,013466</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+4,85 %</w:t>
            </w:r>
          </w:p>
        </w:tc>
      </w:tr>
      <w:tr>
        <w:trPr>
          <w:cantSplit/>
        </w:trPr>
        <w:tc>
          <w:tcPr>
            <w:tcW w:type="dxa" w:w="185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50 шагов</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0,043399</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0,042144</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+2,89 %</w:t>
            </w:r>
          </w:p>
        </w:tc>
      </w:tr>
      <w:tr>
        <w:trPr>
          <w:cantSplit/>
        </w:trPr>
        <w:tc>
          <w:tcPr>
            <w:tcW w:type="dxa" w:w="185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Отдельный one-step набор</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0,003534</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0,004073</w:t>
            </w:r>
          </w:p>
        </w:tc>
        <w:tc>
          <w:tcPr>
            <w:tcW w:type="dxa" w:w="2922"/>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-15,26 %</w:t>
            </w:r>
          </w:p>
        </w:tc>
      </w:tr>
    </w:tbl>
    <w:p>
      <w:pPr/>
      <w:r>
        <w:rPr>
          <w:rFonts w:ascii="Times New Roman" w:hAnsi="Times New Roman" w:eastAsia="Times New Roman" w:cs="Times New Roman"/>
          <w:i w:val="0"/>
          <w:sz w:val="28"/>
          <w:lang w:val="ru-RU" w:eastAsia="ru-RU" w:bidi="ru-RU"/>
          <w:color w:val="000000"/>
        </w:rPr>
        <w:t>Положительное значение в последнем столбце означает уменьшение RMSE, отрицательное — ухудшение. Таблица отражает только один архивный прогон компьютерного моделирования и не является результатом идентификации физического АИР56В2. В архиве не зафиксированы достаточные сведения о seeds, числе повторов и доверительных интервалах. После появления стенда данные должны быть собраны заново с версией набора данных, калиброванными датчиками и раздельными обучающей, валидационной и контрольной последовательностями.</w:t>
      </w:r>
    </w:p>
    <w:p>
      <w:pPr>
        <w:pStyle w:val="Heading2"/>
      </w:pPr>
      <w:r>
        <w:rPr>
          <w:rFonts w:ascii="Times New Roman" w:hAnsi="Times New Roman" w:eastAsia="Times New Roman" w:cs="Times New Roman"/>
          <w:lang w:val="ru-RU" w:eastAsia="ru-RU" w:bidi="ru-RU"/>
          <w:color w:val="000000"/>
        </w:rPr>
        <w:t>4.6 Программа сравнения алгоритмов</w:t>
      </w:r>
    </w:p>
    <w:p>
      <w:pPr/>
      <w:r>
        <w:rPr>
          <w:rFonts w:ascii="Times New Roman" w:hAnsi="Times New Roman" w:eastAsia="Times New Roman" w:cs="Times New Roman"/>
          <w:i w:val="0"/>
          <w:sz w:val="28"/>
          <w:lang w:val="ru-RU" w:eastAsia="ru-RU" w:bidi="ru-RU"/>
          <w:color w:val="000000"/>
        </w:rPr>
        <w:t>Основное сравнение проводится внутри семейства FOC: фиксированный профиль; профиль после идентификации; непрерывная ограниченная адаптация; событийная адаптация; событийная адаптация с интеллектуальной коррекцией. Для каждого варианта фиксируются одинаковые токовые, напряженческие и тепловые пределы. Горизонтный PWM, DTC и FCS-MPC образуют отдельную перспективную программу и не смешиваются с основной абляцией метода адаптации.</w:t>
      </w:r>
    </w:p>
    <w:p>
      <w:pPr/>
      <w:r>
        <w:rPr>
          <w:rFonts w:ascii="Times New Roman" w:hAnsi="Times New Roman" w:eastAsia="Times New Roman" w:cs="Times New Roman"/>
          <w:i w:val="0"/>
          <w:sz w:val="28"/>
          <w:lang w:val="ru-RU" w:eastAsia="ru-RU" w:bidi="ru-RU"/>
          <w:color w:val="000000"/>
        </w:rPr>
        <w:t>Абляционные варианты и проверяемые эффекты приведены в таблице 4.3.</w:t>
      </w:r>
    </w:p>
    <w:p>
      <w:pPr>
        <w:keepNext/>
        <w:pageBreakBefore/>
        <w:spacing w:before="180" w:after="60"/>
        <w:ind w:firstLine="0"/>
      </w:pPr>
      <w:r>
        <w:rPr>
          <w:rFonts w:ascii="Times New Roman" w:hAnsi="Times New Roman" w:eastAsia="Times New Roman" w:cs="Times New Roman"/>
          <w:sz w:val="24"/>
          <w:lang w:val="ru-RU" w:eastAsia="ru-RU" w:bidi="ru-RU"/>
          <w:color w:val="000000"/>
        </w:rPr>
        <w:t>Таблица 4.3 — План абляционных исследований</w:t>
      </w:r>
    </w:p>
    <w:tbl>
      <w:tblPr>
        <w:tblStyle w:val="TableGrid"/>
        <w:tblW w:type="dxa" w:w="9921"/>
        <w:tblLayout w:type="fixed"/>
        <w:tblLook w:firstColumn="1" w:firstRow="1" w:lastColumn="0" w:lastRow="0" w:noHBand="0" w:noVBand="1" w:val="04A0"/>
        <w:tblInd w:w="0" w:type="dxa"/>
      </w:tblPr>
      <w:tblGrid>
        <w:gridCol w:w="1441"/>
        <w:gridCol w:w="4426"/>
        <w:gridCol w:w="4054"/>
      </w:tblGrid>
      <w:tr>
        <w:trPr>
          <w:tblHeader w:val="true"/>
          <w:cantSplit/>
        </w:trPr>
        <w:tc>
          <w:tcPr>
            <w:tcW w:type="dxa" w:w="144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Вариант</w:t>
            </w:r>
          </w:p>
        </w:tc>
        <w:tc>
          <w:tcPr>
            <w:tcW w:type="dxa" w:w="442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Отключаемый механизм</w:t>
            </w:r>
          </w:p>
        </w:tc>
        <w:tc>
          <w:tcPr>
            <w:tcW w:type="dxa" w:w="4054"/>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Проверяемый эффект</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A0</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FOC с исходным фиксированным профилем</w:t>
            </w:r>
          </w:p>
        </w:tc>
        <w:tc>
          <w:tcPr>
            <w:tcW w:type="dxa" w:w="4054"/>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Базовая линия</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A1</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FOC с офлайн-идентификацией</w:t>
            </w:r>
          </w:p>
        </w:tc>
        <w:tc>
          <w:tcPr>
            <w:tcW w:type="dxa" w:w="4054"/>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Влияние идентификации</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A2</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Непрерывная ограниченная адаптация</w:t>
            </w:r>
          </w:p>
        </w:tc>
        <w:tc>
          <w:tcPr>
            <w:tcW w:type="dxa" w:w="4054"/>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Эффект адаптации и шум</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A3</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Событийная адаптация без ИИ</w:t>
            </w:r>
          </w:p>
        </w:tc>
        <w:tc>
          <w:tcPr>
            <w:tcW w:type="dxa" w:w="4054"/>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Эффект события γk</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A4</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Событийная адаптация с ИИ-коррекцией</w:t>
            </w:r>
          </w:p>
        </w:tc>
        <w:tc>
          <w:tcPr>
            <w:tcW w:type="dxa" w:w="4054"/>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Добавочный эффект ИИ</w:t>
            </w:r>
          </w:p>
        </w:tc>
      </w:tr>
      <w:tr>
        <w:trPr>
          <w:cantSplit/>
        </w:trPr>
        <w:tc>
          <w:tcPr>
            <w:tcW w:type="dxa" w:w="144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A5</w:t>
            </w:r>
          </w:p>
        </w:tc>
        <w:tc>
          <w:tcPr>
            <w:tcW w:type="dxa" w:w="442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Принудительная заморозка/fallback</w:t>
            </w:r>
          </w:p>
        </w:tc>
        <w:tc>
          <w:tcPr>
            <w:tcW w:type="dxa" w:w="4054"/>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Безопасность деградации</w:t>
            </w:r>
          </w:p>
        </w:tc>
      </w:tr>
    </w:tbl>
    <w:p>
      <w:pPr>
        <w:pStyle w:val="Heading2"/>
      </w:pPr>
      <w:r>
        <w:rPr>
          <w:rFonts w:ascii="Times New Roman" w:hAnsi="Times New Roman" w:eastAsia="Times New Roman" w:cs="Times New Roman"/>
          <w:lang w:val="ru-RU" w:eastAsia="ru-RU" w:bidi="ru-RU"/>
          <w:color w:val="000000"/>
        </w:rPr>
        <w:t>4.7 Выводы по главе 4</w:t>
      </w:r>
    </w:p>
    <w:p>
      <w:pPr/>
      <w:r>
        <w:rPr>
          <w:rFonts w:ascii="Times New Roman" w:hAnsi="Times New Roman" w:eastAsia="Times New Roman" w:cs="Times New Roman"/>
          <w:i w:val="0"/>
          <w:sz w:val="28"/>
          <w:lang w:val="ru-RU" w:eastAsia="ru-RU" w:bidi="ru-RU"/>
          <w:color w:val="000000"/>
        </w:rPr>
        <w:t>Предложенный метод характеризуется следующими положениями: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быстрый контур FOC-SVPWM предполагается реализовать на STM32G431; аппаратный break и watchdog должны оставаться детерминированными и независимыми от ИИ;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обучаемый уровень изменяет только ограниченный вектор параметров или ранжирует конечное множество допустимых действий;</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каждое предложение проходит логически обособленный Safety Gateway, проверяющий топологию ключей, dead-time, ток, напряжение, температуру, deadline и область доверия;</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при отказе модели, выходе за область обучения или превышении времени расчёта система переходит к заранее проверенному FOC-SVPWM;</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5. архивные host-материалы иллюстрируют реализуемость алгоритмической гипотезы и программу абляций в зафиксированном прогоне, но не подтверждают независимую воспроизводимость, аппаратную готовность и превосходство на физическом объекте.</w:t>
      </w:r>
    </w:p>
    <w:p>
      <w:pPr>
        <w:pStyle w:val="Heading1"/>
      </w:pPr>
      <w:r>
        <w:rPr>
          <w:rFonts w:ascii="Times New Roman" w:hAnsi="Times New Roman" w:eastAsia="Times New Roman" w:cs="Times New Roman"/>
          <w:lang w:val="ru-RU" w:eastAsia="ru-RU" w:bidi="ru-RU"/>
          <w:color w:val="000000"/>
        </w:rPr>
        <w:t>5 ПРОГРАММНАЯ ПРОВЕРКА И МЕТОДИКА ЭКСПЕРИМЕНТАЛЬНОГО ИССЛЕДОВАНИЯ</w:t>
      </w:r>
    </w:p>
    <w:p>
      <w:pPr>
        <w:pStyle w:val="Heading2"/>
      </w:pPr>
      <w:r>
        <w:rPr>
          <w:rFonts w:ascii="Times New Roman" w:hAnsi="Times New Roman" w:eastAsia="Times New Roman" w:cs="Times New Roman"/>
          <w:lang w:val="ru-RU" w:eastAsia="ru-RU" w:bidi="ru-RU"/>
          <w:color w:val="000000"/>
        </w:rPr>
        <w:t>5.1 Подтверждённые результаты программной проверки</w:t>
      </w:r>
    </w:p>
    <w:p>
      <w:pPr/>
      <w:r>
        <w:rPr>
          <w:rFonts w:ascii="Times New Roman" w:hAnsi="Times New Roman" w:eastAsia="Times New Roman" w:cs="Times New Roman"/>
          <w:i w:val="0"/>
          <w:sz w:val="28"/>
          <w:lang w:val="ru-RU" w:eastAsia="ru-RU" w:bidi="ru-RU"/>
          <w:color w:val="000000"/>
        </w:rPr>
        <w:t>При каждой генерации рабочей редакции три проверки целевой конфигурации AIR56B2 запускаются заново, а их JSON-отчёты сохраняются в docs/dissertation_2_9_3/evidence. Проверка профиля подтверждает только числовую согласованность JSON, IOC, исходников и манифеста, а не происхождение шильдика конкретного двигателя. Проверка контракта является статическим анализом исходников и тестовыми векторами; она дополнительно контролирует блокировку команд MCP START/START_STOP и stop-only обработчик PC13. Отдельный высоковольтный release-preflight ожидаемо остаётся FAIL из-за незакрытых аппаратных условий.</w:t>
      </w:r>
    </w:p>
    <w:p>
      <w:pPr/>
      <w:r>
        <w:rPr>
          <w:rFonts w:ascii="Times New Roman" w:hAnsi="Times New Roman" w:eastAsia="Times New Roman" w:cs="Times New Roman"/>
          <w:i w:val="0"/>
          <w:sz w:val="28"/>
          <w:lang w:val="ru-RU" w:eastAsia="ru-RU" w:bidi="ru-RU"/>
          <w:color w:val="000000"/>
        </w:rPr>
        <w:t>Результаты отдельных проверок и намеренно незакрытый HV-gate приведены в таблице 5.1.</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5.1 — Результаты программных проверок</w:t>
      </w:r>
    </w:p>
    <w:tbl>
      <w:tblPr>
        <w:tblStyle w:val="TableGrid"/>
        <w:tblW w:type="dxa" w:w="9921"/>
        <w:tblLayout w:type="fixed"/>
        <w:tblLook w:firstColumn="1" w:firstRow="1" w:lastColumn="0" w:lastRow="0" w:noHBand="0" w:noVBand="1" w:val="04A0"/>
        <w:tblInd w:w="0" w:type="dxa"/>
      </w:tblPr>
      <w:tblGrid>
        <w:gridCol w:w="2573"/>
        <w:gridCol w:w="4941"/>
        <w:gridCol w:w="2407"/>
      </w:tblGrid>
      <w:tr>
        <w:trPr>
          <w:tblHeader w:val="true"/>
          <w:cantSplit/>
        </w:trPr>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Проверка</w:t>
            </w:r>
          </w:p>
        </w:tc>
        <w:tc>
          <w:tcPr>
            <w:tcW w:type="dxa" w:w="494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Контролируемые свойства</w:t>
            </w:r>
          </w:p>
        </w:tc>
        <w:tc>
          <w:tcPr>
            <w:tcW w:type="dxa" w:w="2407"/>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Результат</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Профиль AIR56B2</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 пара полюсов, 50 Гц, числовые константы, хэши</w:t>
            </w:r>
          </w:p>
        </w:tc>
        <w:tc>
          <w:tcPr>
            <w:tcW w:type="dxa" w:w="240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PASS: числовая согласованность</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Контракт UNO Q - Nucleo</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Кадр 0x02, CRC, timeout, запрет режимов и обходов START</w:t>
            </w:r>
          </w:p>
        </w:tc>
        <w:tc>
          <w:tcPr>
            <w:tcW w:type="dxa" w:w="240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PASS: статический контракт исходников</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Комплект ELF/BIN/HEX</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Состав артефактов, манифесты, согласованность</w:t>
            </w:r>
          </w:p>
        </w:tc>
        <w:tc>
          <w:tcPr>
            <w:tcW w:type="dxa" w:w="240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PASS: состав и SHA-256</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Сборка Nucleo</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Компиляция проекта и сохранённый журнал</w:t>
            </w:r>
          </w:p>
        </w:tc>
        <w:tc>
          <w:tcPr>
            <w:tcW w:type="dxa" w:w="240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PASS: 0 ошибок, 0 предупреждений; log сохранён</w:t>
            </w:r>
          </w:p>
        </w:tc>
      </w:tr>
      <w:tr>
        <w:trPr>
          <w:cantSplit/>
        </w:trPr>
        <w:tc>
          <w:tcPr>
            <w:tcW w:type="dxa" w:w="257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HV release-preflight</w:t>
            </w:r>
          </w:p>
        </w:tc>
        <w:tc>
          <w:tcPr>
            <w:tcW w:type="dxa" w:w="494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Предзаряд, происхождение профиля, HV interlock</w:t>
            </w:r>
          </w:p>
        </w:tc>
        <w:tc>
          <w:tcPr>
            <w:tcW w:type="dxa" w:w="2407"/>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FAIL: HV запрещён</w:t>
            </w:r>
          </w:p>
        </w:tc>
      </w:tr>
    </w:tbl>
    <w:p>
      <w:pPr/>
      <w:r>
        <w:rPr>
          <w:rFonts w:ascii="Times New Roman" w:hAnsi="Times New Roman" w:eastAsia="Times New Roman" w:cs="Times New Roman"/>
          <w:i w:val="0"/>
          <w:sz w:val="28"/>
          <w:lang w:val="ru-RU" w:eastAsia="ru-RU" w:bidi="ru-RU"/>
          <w:color w:val="000000"/>
        </w:rPr>
        <w:t>Программная проверка подтверждает внутреннюю согласованность исходников и артефактов, но не измеряет ток двигателя, фронты PWM, dead-time, напряжение звена или корректность фазировки. По этой причине она не может заменить HIL и стенд.</w:t>
      </w:r>
    </w:p>
    <w:p>
      <w:pPr/>
      <w:r>
        <w:rPr>
          <w:rFonts w:ascii="Times New Roman" w:hAnsi="Times New Roman" w:eastAsia="Times New Roman" w:cs="Times New Roman"/>
          <w:i w:val="0"/>
          <w:sz w:val="28"/>
          <w:lang w:val="ru-RU" w:eastAsia="ru-RU" w:bidi="ru-RU"/>
          <w:color w:val="000000"/>
        </w:rPr>
        <w:t>По текущим манифестам комплект Nucleo включает ELF размером 2 062 168 байт, BIN размером 39 004 байт и HEX размером 109 805 байт. Комплект UNO Q включает ELF размером 122 196 байт, BIN размером 50 312 байт, HEX размером 136 711 байт и загрузочный payload elf-zsk.bin размером 122 196 байт. Полные SHA-256 сохранены в манифестах и проверяются автоматически.</w:t>
      </w:r>
    </w:p>
    <w:p>
      <w:pPr/>
      <w:r>
        <w:rPr>
          <w:rFonts w:ascii="Times New Roman" w:hAnsi="Times New Roman" w:eastAsia="Times New Roman" w:cs="Times New Roman"/>
          <w:i w:val="0"/>
          <w:sz w:val="28"/>
          <w:lang w:val="ru-RU" w:eastAsia="ru-RU" w:bidi="ru-RU"/>
          <w:color w:val="000000"/>
        </w:rPr>
        <w:t>Граница между полученными и будущими доказательствами показана на рисунке 5.1.</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11" name="Picture 11" title="Рисунок 5.1" descr="Рисунок 5.1 — Разделение подтверждённых и неподтверждённых результатов"/>
            <wp:cNvGraphicFramePr>
              <a:graphicFrameLocks noChangeAspect="1"/>
            </wp:cNvGraphicFramePr>
            <a:graphic>
              <a:graphicData uri="http://schemas.openxmlformats.org/drawingml/2006/picture">
                <pic:pic>
                  <pic:nvPicPr>
                    <pic:cNvPr id="0" name="fig12_evidence.png"/>
                    <pic:cNvPicPr/>
                  </pic:nvPicPr>
                  <pic:blipFill>
                    <a:blip r:embed="rId20"/>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5.1 — Разделение подтверждённых и неподтверждённых результатов</w:t>
      </w:r>
    </w:p>
    <w:p>
      <w:pPr>
        <w:pStyle w:val="Heading2"/>
      </w:pPr>
      <w:r>
        <w:rPr>
          <w:rFonts w:ascii="Times New Roman" w:hAnsi="Times New Roman" w:eastAsia="Times New Roman" w:cs="Times New Roman"/>
          <w:lang w:val="ru-RU" w:eastAsia="ru-RU" w:bidi="ru-RU"/>
          <w:color w:val="000000"/>
        </w:rPr>
        <w:t>5.2 Результаты воспроизводимого SIL-исследования</w:t>
      </w:r>
    </w:p>
    <w:p>
      <w:pPr/>
      <w:r>
        <w:rPr>
          <w:rFonts w:ascii="Times New Roman" w:hAnsi="Times New Roman" w:eastAsia="Times New Roman" w:cs="Times New Roman"/>
          <w:i w:val="0"/>
          <w:sz w:val="28"/>
          <w:lang w:val="ru-RU" w:eastAsia="ru-RU" w:bidi="ru-RU"/>
          <w:color w:val="000000"/>
        </w:rPr>
        <w:t>Вместо использования архивной host-матрицы сформирован канонический конвейер AIR56B2 с прослеживаемыми входами, фиксированным master seed 560225 и SHA-256 всех результатов. Manifest версии 6 имеет статус PASS; пройдено 41 из 41 программных ворот. Флаг hardware_release_ready остаётся false, поэтому термин PASS далее относится только к SIL-уровню.</w:t>
      </w:r>
    </w:p>
    <w:p>
      <w:pPr/>
      <w:r>
        <w:rPr>
          <w:rFonts w:ascii="Times New Roman" w:hAnsi="Times New Roman" w:eastAsia="Times New Roman" w:cs="Times New Roman"/>
          <w:i w:val="0"/>
          <w:sz w:val="28"/>
          <w:lang w:val="ru-RU" w:eastAsia="ru-RU" w:bidi="ru-RU"/>
          <w:color w:val="000000"/>
        </w:rPr>
        <w:t>Параметры F1 сформированы из паспортных величин АИР56В2, а неопределённые электрические и механические параметры представлены ансамблем из 256 согласованных F2/F3-вариантов. Эти варианты не объявляются идентифицированными параметрами реального двигателя. Такой подход позволяет проверять чувствительность алгоритмов до получения платы, сохраняя отдельный gate аппаратной идентификации.</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5.2 — Канонические результаты SIL-конвейера AIR56B2</w:t>
      </w:r>
    </w:p>
    <w:tbl>
      <w:tblPr>
        <w:tblStyle w:val="TableGrid"/>
        <w:tblW w:type="dxa" w:w="9921"/>
        <w:tblLayout w:type="fixed"/>
        <w:tblLook w:firstColumn="1" w:firstRow="1" w:lastColumn="0" w:lastRow="0" w:noHBand="0" w:noVBand="1" w:val="04A0"/>
        <w:tblInd w:w="0" w:type="dxa"/>
      </w:tblPr>
      <w:tblGrid>
        <w:gridCol w:w="2368"/>
        <w:gridCol w:w="1750"/>
        <w:gridCol w:w="2265"/>
        <w:gridCol w:w="3538"/>
      </w:tblGrid>
      <w:tr>
        <w:trPr>
          <w:tblHeader w:val="true"/>
          <w:cantSplit/>
        </w:trPr>
        <w:tc>
          <w:tcPr>
            <w:tcW w:type="dxa" w:w="2368"/>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Проверка</w:t>
            </w:r>
          </w:p>
        </w:tc>
        <w:tc>
          <w:tcPr>
            <w:tcW w:type="dxa" w:w="1750"/>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Объём</w:t>
            </w:r>
          </w:p>
        </w:tc>
        <w:tc>
          <w:tcPr>
            <w:tcW w:type="dxa" w:w="226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Результат</w:t>
            </w:r>
          </w:p>
        </w:tc>
        <w:tc>
          <w:tcPr>
            <w:tcW w:type="dxa" w:w="3538"/>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Ограничение интерпретации</w:t>
            </w:r>
          </w:p>
        </w:tc>
      </w:tr>
      <w:tr>
        <w:trPr>
          <w:cantSplit/>
        </w:trPr>
        <w:tc>
          <w:tcPr>
            <w:tcW w:type="dxa" w:w="236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Скалярное V/f</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48 режимов</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48/48 PASS</w:t>
            </w:r>
          </w:p>
        </w:tc>
        <w:tc>
          <w:tcPr>
            <w:tcW w:type="dxa" w:w="353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Модельный объект; без физической фазировки</w:t>
            </w:r>
          </w:p>
        </w:tc>
      </w:tr>
      <w:tr>
        <w:trPr>
          <w:cantSplit/>
        </w:trPr>
        <w:tc>
          <w:tcPr>
            <w:tcW w:type="dxa" w:w="236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Матрица защит</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168 инъекций</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168/168 PASS</w:t>
            </w:r>
          </w:p>
        </w:tc>
        <w:tc>
          <w:tcPr>
            <w:tcW w:type="dxa" w:w="353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 измеряет задержку аппаратного break</w:t>
            </w:r>
          </w:p>
        </w:tc>
      </w:tr>
      <w:tr>
        <w:trPr>
          <w:cantSplit/>
        </w:trPr>
        <w:tc>
          <w:tcPr>
            <w:tcW w:type="dxa" w:w="236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Encoder-observer FOC</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24 варианта</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24/24 PASS</w:t>
            </w:r>
          </w:p>
        </w:tc>
        <w:tc>
          <w:tcPr>
            <w:tcW w:type="dxa" w:w="353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Параметры двигателя не измерены</w:t>
            </w:r>
          </w:p>
        </w:tc>
      </w:tr>
      <w:tr>
        <w:trPr>
          <w:cantSplit/>
        </w:trPr>
        <w:tc>
          <w:tcPr>
            <w:tcW w:type="dxa" w:w="236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Оптимизация потерь</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480 точек</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медиана 9.65 %</w:t>
            </w:r>
          </w:p>
        </w:tc>
        <w:tc>
          <w:tcPr>
            <w:tcW w:type="dxa" w:w="353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Расчётные, а не измеренные потери</w:t>
            </w:r>
          </w:p>
        </w:tc>
      </w:tr>
      <w:tr>
        <w:trPr>
          <w:cantSplit/>
        </w:trPr>
        <w:tc>
          <w:tcPr>
            <w:tcW w:type="dxa" w:w="236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Sensorless plant</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15, 30 и 45 Гц</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средняя ошибка 3.35 %</w:t>
            </w:r>
          </w:p>
        </w:tc>
        <w:tc>
          <w:tcPr>
            <w:tcW w:type="dxa" w:w="353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5 Гц не подтверждены</w:t>
            </w:r>
          </w:p>
        </w:tc>
      </w:tr>
      <w:tr>
        <w:trPr>
          <w:cantSplit/>
        </w:trPr>
        <w:tc>
          <w:tcPr>
            <w:tcW w:type="dxa" w:w="236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Нейронная политика</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600 holdout-точек</w:t>
            </w:r>
          </w:p>
        </w:tc>
        <w:tc>
          <w:tcPr>
            <w:tcW w:type="dxa" w:w="226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медиана 12.30 %</w:t>
            </w:r>
          </w:p>
        </w:tc>
        <w:tc>
          <w:tcPr>
            <w:tcW w:type="dxa" w:w="353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Supervised distillation, не hardware PPO</w:t>
            </w:r>
          </w:p>
        </w:tc>
      </w:tr>
    </w:tbl>
    <w:p>
      <w:pPr/>
      <w:r>
        <w:rPr>
          <w:rFonts w:ascii="Times New Roman" w:hAnsi="Times New Roman" w:eastAsia="Times New Roman" w:cs="Times New Roman"/>
          <w:i w:val="0"/>
          <w:sz w:val="28"/>
          <w:lang w:val="ru-RU" w:eastAsia="ru-RU" w:bidi="ru-RU"/>
          <w:color w:val="000000"/>
        </w:rPr>
        <w:t>Для исключения несопоставимости все стратегии дополнительно пересчитаны на одних и тех же 600 отложенных режимах, сгруппированных по 12 независимым вариантам параметров. Кластерный bootstrap с 2000 повторениями учитывает связанность 50 режимов внутри каждого варианта. Среднее снижение расчётных потерь составило 14.63 % для классического оптимума, 14.07 % для нейронной политики, 14.63 % для ограниченного поиска экстремума и 13.78 % для LUT с fallback.</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12" name="Picture 12" title="Рисунок 5.2" descr="Рисунок 5.2 — Парное сравнение стратегий на общем holdout"/>
            <wp:cNvGraphicFramePr>
              <a:graphicFrameLocks noChangeAspect="1"/>
            </wp:cNvGraphicFramePr>
            <a:graphic>
              <a:graphicData uri="http://schemas.openxmlformats.org/drawingml/2006/picture">
                <pic:pic>
                  <pic:nvPicPr>
                    <pic:cNvPr id="0" name="fig13_common_benchmark.png"/>
                    <pic:cNvPicPr/>
                  </pic:nvPicPr>
                  <pic:blipFill>
                    <a:blip r:embed="rId21"/>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5.2 — Парное сравнение стратегий на общем holdout</w:t>
      </w:r>
    </w:p>
    <w:p>
      <w:pPr/>
      <w:r>
        <w:rPr>
          <w:rFonts w:ascii="Times New Roman" w:hAnsi="Times New Roman" w:eastAsia="Times New Roman" w:cs="Times New Roman"/>
          <w:i w:val="0"/>
          <w:sz w:val="28"/>
          <w:lang w:val="ru-RU" w:eastAsia="ru-RU" w:bidi="ru-RU"/>
          <w:color w:val="000000"/>
        </w:rPr>
        <w:t>Нейронная политика не превосходит классический оптимум: медианный разрыв составляет 0.37 %, максимальный — 4.55 %. В 58 из 600 режимов её результат хуже фиксированного потока; худшее изменение равно -2.87 %. Следовательно, положительная средняя экономия не является основанием для прямой подачи команды actor: необходимы надзорный контур, оценка области применимости и fallback.</w:t>
      </w:r>
    </w:p>
    <w:p>
      <w:pPr/>
      <w:r>
        <w:rPr>
          <w:rFonts w:ascii="Times New Roman" w:hAnsi="Times New Roman" w:eastAsia="Times New Roman" w:cs="Times New Roman"/>
          <w:i w:val="0"/>
          <w:sz w:val="28"/>
          <w:lang w:val="ru-RU" w:eastAsia="ru-RU" w:bidi="ru-RU"/>
          <w:color w:val="000000"/>
        </w:rPr>
        <w:t>Ограниченный поиск экстремума практически совпал с расчётным optimum, но в SIL использовал истинное значение функции суммарных потерь как измерительный прокси. На стенде такой сигнал непосредственно отсутствует; его необходимо заменить подтверждённой оценкой входной энергии при одинаковой механической нагрузке. Поэтому этот результат показывает потенциальную верхнюю границу model-free адаптации, а не готовый аппаратный алгоритм.</w:t>
      </w:r>
    </w:p>
    <w:p>
      <w:pPr/>
      <w:r>
        <w:rPr>
          <w:rFonts w:ascii="Times New Roman" w:hAnsi="Times New Roman" w:eastAsia="Times New Roman" w:cs="Times New Roman"/>
          <w:i w:val="0"/>
          <w:sz w:val="28"/>
          <w:lang w:val="ru-RU" w:eastAsia="ru-RU" w:bidi="ru-RU"/>
          <w:color w:val="000000"/>
        </w:rPr>
        <w:t>Независимый sensorless-наблюдатель использует только приложенное напряжение и задержанные квантованные токи на отдельной RK4-модели объекта. Для 15, 30 и 45 Гц средняя относительная ошибка скорости составила 3.35 %. Режим 5 Гц исключён из подтверждённой области из-за чувствительности voltage model к смещению тока и ошибке Rs. Кроме того, frozen FOC на единственном паспортном наборе не прошёл робастный holdout, что подтверждает обязательность измерения Rs, Rr, Lls, Llr, Lm и J.</w:t>
      </w:r>
    </w:p>
    <w:p>
      <w:pPr/>
      <w:r>
        <w:rPr>
          <w:rFonts w:ascii="Times New Roman" w:hAnsi="Times New Roman" w:eastAsia="Times New Roman" w:cs="Times New Roman"/>
          <w:i w:val="0"/>
          <w:sz w:val="28"/>
          <w:lang w:val="ru-RU" w:eastAsia="ru-RU" w:bidi="ru-RU"/>
          <w:color w:val="000000"/>
        </w:rPr>
        <w:t>Допустимая интерпретация каждого уровня доказательств приведена в таблице 5.3.</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5.3 — Интерпретация уровней доказательств</w:t>
      </w:r>
    </w:p>
    <w:tbl>
      <w:tblPr>
        <w:tblStyle w:val="TableGrid"/>
        <w:tblW w:type="dxa" w:w="9921"/>
        <w:tblLayout w:type="fixed"/>
        <w:tblLook w:firstColumn="1" w:firstRow="1" w:lastColumn="0" w:lastRow="0" w:noHBand="0" w:noVBand="1" w:val="04A0"/>
        <w:tblInd w:w="0" w:type="dxa"/>
      </w:tblPr>
      <w:tblGrid>
        <w:gridCol w:w="1956"/>
        <w:gridCol w:w="3860"/>
        <w:gridCol w:w="4105"/>
      </w:tblGrid>
      <w:tr>
        <w:trPr>
          <w:tblHeader w:val="true"/>
          <w:cantSplit/>
        </w:trPr>
        <w:tc>
          <w:tcPr>
            <w:tcW w:type="dxa" w:w="195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Уровень</w:t>
            </w:r>
          </w:p>
        </w:tc>
        <w:tc>
          <w:tcPr>
            <w:tcW w:type="dxa" w:w="3860"/>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Что подтверждает</w:t>
            </w:r>
          </w:p>
        </w:tc>
        <w:tc>
          <w:tcPr>
            <w:tcW w:type="dxa" w:w="410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Чего не подтверждает</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Static/build</w:t>
            </w:r>
          </w:p>
        </w:tc>
        <w:tc>
          <w:tcPr>
            <w:tcW w:type="dxa" w:w="386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Синтаксис, контракт, состав</w:t>
            </w:r>
          </w:p>
        </w:tc>
        <w:tc>
          <w:tcPr>
            <w:tcW w:type="dxa" w:w="410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Физику и тайминги</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Host simulation</w:t>
            </w:r>
          </w:p>
        </w:tc>
        <w:tc>
          <w:tcPr>
            <w:tcW w:type="dxa" w:w="386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Логику и сценарии</w:t>
            </w:r>
          </w:p>
        </w:tc>
        <w:tc>
          <w:tcPr>
            <w:tcW w:type="dxa" w:w="410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Аппаратный привод</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HIL</w:t>
            </w:r>
          </w:p>
        </w:tc>
        <w:tc>
          <w:tcPr>
            <w:tcW w:type="dxa" w:w="386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Реальное время и интерфейсы</w:t>
            </w:r>
          </w:p>
        </w:tc>
        <w:tc>
          <w:tcPr>
            <w:tcW w:type="dxa" w:w="410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Мощность и тепловой режим</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Низковольтный стенд</w:t>
            </w:r>
          </w:p>
        </w:tc>
        <w:tc>
          <w:tcPr>
            <w:tcW w:type="dxa" w:w="386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Фазировку и защиты</w:t>
            </w:r>
          </w:p>
        </w:tc>
        <w:tc>
          <w:tcPr>
            <w:tcW w:type="dxa" w:w="410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Номинальную нагрузку</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Силовой стенд</w:t>
            </w:r>
          </w:p>
        </w:tc>
        <w:tc>
          <w:tcPr>
            <w:tcW w:type="dxa" w:w="386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Энергетику и динамику</w:t>
            </w:r>
          </w:p>
        </w:tc>
        <w:tc>
          <w:tcPr>
            <w:tcW w:type="dxa" w:w="410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Тяговый масштаб без пересчёта</w:t>
            </w:r>
          </w:p>
        </w:tc>
      </w:tr>
      <w:tr>
        <w:trPr>
          <w:cantSplit/>
        </w:trPr>
        <w:tc>
          <w:tcPr>
            <w:tcW w:type="dxa" w:w="1956"/>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Тяговая установка</w:t>
            </w:r>
          </w:p>
        </w:tc>
        <w:tc>
          <w:tcPr>
            <w:tcW w:type="dxa" w:w="386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Отраслевую применимость</w:t>
            </w:r>
          </w:p>
        </w:tc>
        <w:tc>
          <w:tcPr>
            <w:tcW w:type="dxa" w:w="410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Иные серии привода</w:t>
            </w:r>
          </w:p>
        </w:tc>
      </w:tr>
    </w:tbl>
    <w:p>
      <w:pPr>
        <w:pStyle w:val="Heading2"/>
      </w:pPr>
      <w:r>
        <w:rPr>
          <w:rFonts w:ascii="Times New Roman" w:hAnsi="Times New Roman" w:eastAsia="Times New Roman" w:cs="Times New Roman"/>
          <w:lang w:val="ru-RU" w:eastAsia="ru-RU" w:bidi="ru-RU"/>
          <w:color w:val="000000"/>
        </w:rPr>
        <w:t>5.3 Последовательность HIL- и стендовых испытаний</w:t>
      </w:r>
    </w:p>
    <w:p>
      <w:pPr/>
      <w:r>
        <w:rPr>
          <w:rFonts w:ascii="Times New Roman" w:hAnsi="Times New Roman" w:eastAsia="Times New Roman" w:cs="Times New Roman"/>
          <w:i w:val="0"/>
          <w:sz w:val="28"/>
          <w:lang w:val="ru-RU" w:eastAsia="ru-RU" w:bidi="ru-RU"/>
          <w:color w:val="000000"/>
        </w:rPr>
        <w:t>Последовательность этапов и запрет перехода через незакрытый gate представлены на рисунке 5.3.</w:t>
      </w:r>
    </w:p>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13" name="Picture 13" title="Рисунок 5.3" descr="Рисунок 5.3 — Этапы экспериментальной верификации с критериями перехода"/>
            <wp:cNvGraphicFramePr>
              <a:graphicFrameLocks noChangeAspect="1"/>
            </wp:cNvGraphicFramePr>
            <a:graphic>
              <a:graphicData uri="http://schemas.openxmlformats.org/drawingml/2006/picture">
                <pic:pic>
                  <pic:nvPicPr>
                    <pic:cNvPr id="0" name="fig11_test_steps.png"/>
                    <pic:cNvPicPr/>
                  </pic:nvPicPr>
                  <pic:blipFill>
                    <a:blip r:embed="rId22"/>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5.3 — Этапы экспериментальной верификации с критериями перехода</w:t>
      </w:r>
    </w:p>
    <w:p>
      <w:pPr/>
      <w:r>
        <w:rPr>
          <w:rFonts w:ascii="Times New Roman" w:hAnsi="Times New Roman" w:eastAsia="Times New Roman" w:cs="Times New Roman"/>
          <w:i w:val="0"/>
          <w:sz w:val="28"/>
          <w:lang w:val="ru-RU" w:eastAsia="ru-RU" w:bidi="ru-RU"/>
          <w:color w:val="000000"/>
        </w:rPr>
        <w:t>Этап S0 выполнен только в программной и статической части. До активного низковольтного PWM допускаются лишь пассивная проверка монтажа, прозвонка без питания и сверка ревизий плат. На S1 платы соединяются без силового J7; после утверждения полной схемы осциллографом и логическим анализатором проверяются UART, PWM, последовательность запуска и реакция на timeout. На S2 HIL-имитатор формирует токовые, температурные и аварийные сигналы. Переход к S3 допускается только после проверки отдельного аппаратного E-stop, break, предзаряда и разряда звена.</w:t>
      </w:r>
    </w:p>
    <w:p>
      <w:pPr/>
      <w:r>
        <w:rPr>
          <w:rFonts w:ascii="Times New Roman" w:hAnsi="Times New Roman" w:eastAsia="Times New Roman" w:cs="Times New Roman"/>
          <w:i w:val="0"/>
          <w:sz w:val="28"/>
          <w:lang w:val="ru-RU" w:eastAsia="ru-RU" w:bidi="ru-RU"/>
          <w:color w:val="000000"/>
        </w:rPr>
        <w:t>Первый вращательный пуск выполняется от регулируемого и ограниченного источника, без механической нагрузки, при минимальной частоте и возможности дистанционного отключения. Проверяются порядок фаз, направление, ток холостого хода, вибрация и нагрев. Затем V/f испытывается по ступеням до 50 Гц. FOC вводится только после идентификации и сверки знаков каналов тока и скорости.</w:t>
      </w:r>
    </w:p>
    <w:p>
      <w:pPr/>
      <w:r>
        <w:rPr>
          <w:rFonts w:ascii="Times New Roman" w:hAnsi="Times New Roman" w:eastAsia="Times New Roman" w:cs="Times New Roman"/>
          <w:i w:val="0"/>
          <w:sz w:val="28"/>
          <w:lang w:val="ru-RU" w:eastAsia="ru-RU" w:bidi="ru-RU"/>
          <w:color w:val="000000"/>
        </w:rPr>
        <w:t>Интеллектуальный режим включается последним. Сначала он работает в shadow mode: формирует предложение, которое журналируется, но не применяется. После статистической проверки и анализа OOD-состояний разрешаются малые поправки к параметрам. Прямой горизонтный PWM допускается только при работоспособном Safety Gateway и мгновенном fallback на FOC-SVPWM.</w:t>
      </w:r>
    </w:p>
    <w:p>
      <w:pPr>
        <w:pStyle w:val="Heading2"/>
      </w:pPr>
      <w:r>
        <w:rPr>
          <w:rFonts w:ascii="Times New Roman" w:hAnsi="Times New Roman" w:eastAsia="Times New Roman" w:cs="Times New Roman"/>
          <w:lang w:val="ru-RU" w:eastAsia="ru-RU" w:bidi="ru-RU"/>
          <w:color w:val="000000"/>
        </w:rPr>
        <w:t>5.4 План экспериментов и измерительные каналы</w:t>
      </w:r>
    </w:p>
    <w:p>
      <w:pPr/>
      <w:r>
        <w:rPr>
          <w:rFonts w:ascii="Times New Roman" w:hAnsi="Times New Roman" w:eastAsia="Times New Roman" w:cs="Times New Roman"/>
          <w:i w:val="0"/>
          <w:sz w:val="28"/>
          <w:lang w:val="ru-RU" w:eastAsia="ru-RU" w:bidi="ru-RU"/>
          <w:color w:val="000000"/>
        </w:rPr>
        <w:t>Основные сценарии, воздействия, метрики и число повторов приведены в таблице 5.4; форма первичного протокола дана в приложении В.</w:t>
      </w:r>
    </w:p>
    <w:p>
      <w:pPr>
        <w:keepNext/>
        <w:pageBreakBefore/>
        <w:spacing w:before="180" w:after="60"/>
        <w:ind w:firstLine="0"/>
      </w:pPr>
      <w:r>
        <w:rPr>
          <w:rFonts w:ascii="Times New Roman" w:hAnsi="Times New Roman" w:eastAsia="Times New Roman" w:cs="Times New Roman"/>
          <w:sz w:val="24"/>
          <w:lang w:val="ru-RU" w:eastAsia="ru-RU" w:bidi="ru-RU"/>
          <w:color w:val="000000"/>
        </w:rPr>
        <w:t>Таблица 5.4 — Основные экспериментальные сценарии</w:t>
      </w:r>
    </w:p>
    <w:tbl>
      <w:tblPr>
        <w:tblStyle w:val="TableGrid"/>
        <w:tblW w:type="dxa" w:w="9921"/>
        <w:tblLayout w:type="fixed"/>
        <w:tblLook w:firstColumn="1" w:firstRow="1" w:lastColumn="0" w:lastRow="0" w:noHBand="0" w:noVBand="1" w:val="04A0"/>
        <w:tblInd w:w="0" w:type="dxa"/>
      </w:tblPr>
      <w:tblGrid>
        <w:gridCol w:w="2265"/>
        <w:gridCol w:w="2676"/>
        <w:gridCol w:w="3191"/>
        <w:gridCol w:w="1789"/>
      </w:tblGrid>
      <w:tr>
        <w:trPr>
          <w:tblHeader w:val="true"/>
          <w:cantSplit/>
        </w:trPr>
        <w:tc>
          <w:tcPr>
            <w:tcW w:type="dxa" w:w="226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Сценарий</w:t>
            </w:r>
          </w:p>
        </w:tc>
        <w:tc>
          <w:tcPr>
            <w:tcW w:type="dxa" w:w="267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Воздействие</w:t>
            </w:r>
          </w:p>
        </w:tc>
        <w:tc>
          <w:tcPr>
            <w:tcW w:type="dxa" w:w="319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Основные метрики</w:t>
            </w:r>
          </w:p>
        </w:tc>
        <w:tc>
          <w:tcPr>
            <w:tcW w:type="dxa" w:w="1789"/>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Объём серии</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Пуск без нагрузки</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 → 10 → 50 Гц</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Imax, время, вибрация</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 расчёту N</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Ступень нагрузки</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0,2 → 0,8 Mn</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IAE, ΔM, I²t</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 расчёту N</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Сброс нагрузки</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0,8 → 0,2 Mn</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перерегулирование</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 расчёту N</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Тяговый профиль</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разгон, выбег, торможение, рекуперация</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энергия, сцепление, нагрев</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 расчёту N</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Изменение Udc</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−10 %, −20 %</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устойчивость, fallback</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 расчёту N</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Нагрев</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длительный номинал</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Rs, T, КПД</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≥5 циклов</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Потеря UART</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timeout &gt; 300 мс</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время останова</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≥20 инъекций</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Отказ датчика</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обрыв/заморозка</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fault, безопасное состояние</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≥20 инъекций</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Ослабление поля</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50 → 60…80 Гц</w:t>
            </w:r>
          </w:p>
        </w:tc>
        <w:tc>
          <w:tcPr>
            <w:tcW w:type="dxa" w:w="3191"/>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ток, момент, вибрация</w:t>
            </w:r>
          </w:p>
        </w:tc>
        <w:tc>
          <w:tcPr>
            <w:tcW w:type="dxa" w:w="178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после допуска</w:t>
            </w:r>
          </w:p>
        </w:tc>
      </w:tr>
    </w:tbl>
    <w:p>
      <w:pPr/>
      <w:r>
        <w:rPr>
          <w:rFonts w:ascii="Times New Roman" w:hAnsi="Times New Roman" w:eastAsia="Times New Roman" w:cs="Times New Roman"/>
          <w:i w:val="0"/>
          <w:sz w:val="28"/>
          <w:lang w:val="ru-RU" w:eastAsia="ru-RU" w:bidi="ru-RU"/>
          <w:color w:val="000000"/>
        </w:rPr>
        <w:t>Минимальный измерительный набор включает Udc, Idc, два фазных тока, скорость или положение, температуру корпуса двигателя и радиатора, состояния PWM/break, UART и E-stop. Для энергетического сравнения требуется синхронная выборка Udc и Idc, а для механической мощности — датчик момента или калиброванная нагрузочная машина.</w:t>
      </w:r>
    </w:p>
    <w:p>
      <w:pPr/>
      <w:r>
        <w:rPr>
          <w:rFonts w:ascii="Times New Roman" w:hAnsi="Times New Roman" w:eastAsia="Times New Roman" w:cs="Times New Roman"/>
          <w:i w:val="0"/>
          <w:sz w:val="28"/>
          <w:lang w:val="ru-RU" w:eastAsia="ru-RU" w:bidi="ru-RU"/>
          <w:color w:val="000000"/>
        </w:rPr>
        <w:t>Перед серией фиксируются калибровки, температура окружающей среды, состояние двигателя, версия прошивки и хэш конфигурации. Порядок алгоритмов рандомизируется, чтобы уменьшить влияние нагрева. Если температура вышла за коридор, серия прекращается или данные маркируются как несопоставимые.</w:t>
      </w:r>
    </w:p>
    <w:p>
      <w:pPr>
        <w:pStyle w:val="Heading2"/>
      </w:pPr>
      <w:r>
        <w:rPr>
          <w:rFonts w:ascii="Times New Roman" w:hAnsi="Times New Roman" w:eastAsia="Times New Roman" w:cs="Times New Roman"/>
          <w:lang w:val="ru-RU" w:eastAsia="ru-RU" w:bidi="ru-RU"/>
          <w:color w:val="000000"/>
        </w:rPr>
        <w:t>5.5 Статистическая обработка</w:t>
      </w:r>
    </w:p>
    <w:p>
      <w:pPr/>
      <w:r>
        <w:rPr>
          <w:rFonts w:ascii="Times New Roman" w:hAnsi="Times New Roman" w:eastAsia="Times New Roman" w:cs="Times New Roman"/>
          <w:i w:val="0"/>
          <w:sz w:val="28"/>
          <w:lang w:val="ru-RU" w:eastAsia="ru-RU" w:bidi="ru-RU"/>
          <w:color w:val="000000"/>
        </w:rPr>
        <w:t>До начала серии фиксируются первичная метрика — изменение КПД Δη, нулевая и альтернативная гипотезы, минимально практически значимый эффект, уровень значимости α=0,05 и требуемая мощность не ниже 0,8. Число повторов рассчитывается по дисперсии пилотной серии, а не выбирается только из удобства эксперимента. Для вторичных метрик заранее задаётся способ контроля множественных сравнений. Баланс неопределённости измерений мощности должен быть меньше заявляемого эффекта.</w:t>
      </w:r>
    </w:p>
    <w:p>
      <w:pPr/>
      <w:r>
        <w:rPr>
          <w:rFonts w:ascii="Times New Roman" w:hAnsi="Times New Roman" w:eastAsia="Times New Roman" w:cs="Times New Roman"/>
          <w:i w:val="0"/>
          <w:sz w:val="28"/>
          <w:lang w:val="ru-RU" w:eastAsia="ru-RU" w:bidi="ru-RU"/>
          <w:color w:val="000000"/>
        </w:rPr>
        <w:t>Для каждой метрики рассчитываются медиана, среднее, стандартное отклонение, 95%-ный доверительный интервал и худший наблюдённый случай. При парном A/B-дизайне анализируется разность результатов в одинаковом сценарии. Наряду со статистической значимостью указывается практический размер эффекта. При ненормальности парных разностей применяется bootstrap-интервал или заранее выбранный непараметрический критерий.</w:t>
      </w:r>
    </w:p>
    <w:tbl>
      <w:tblPr>
        <w:tblStyle w:val="TableGrid"/>
        <w:tblW w:type="dxa" w:w="9921"/>
        <w:tblLayout w:type="fixed"/>
        <w:tblLook w:firstColumn="1" w:firstRow="1" w:lastColumn="0" w:lastRow="0" w:noHBand="0" w:noVBand="1" w:val="04A0"/>
        <w:tblInd w:w="0" w:type="dxa"/>
      </w:tblPr>
      <w:tblGrid>
        <w:gridCol w:w="1132"/>
        <w:gridCol w:w="7656"/>
        <w:gridCol w:w="1133"/>
      </w:tblGrid>
      <w:tr>
        <w:trPr>
          <w:cantSplit/>
        </w:trPr>
        <w:tc>
          <w:tcPr>
            <w:tcW w:type="dxa" w:w="1132"/>
            <w:tcMar>
              <w:top w:w="70" w:type="dxa"/>
              <w:start w:w="90" w:type="dxa"/>
              <w:bottom w:w="70" w:type="dxa"/>
              <w:end w:w="90" w:type="dxa"/>
            </w:tcMar>
            <w:vAlign w:val="center"/>
            <w:tcBorders>
              <w:top w:val="nil"/>
              <w:left w:val="nil"/>
              <w:bottom w:val="nil"/>
              <w:right w:val="nil"/>
              <w:insideH w:val="nil"/>
              <w:insideV w:val="nil"/>
            </w:tcBorders>
          </w:tcPr>
          <w:p/>
        </w:tc>
        <w:tc>
          <w:tcPr>
            <w:tcW w:type="dxa" w:w="7656"/>
            <w:tcMar>
              <w:top w:w="70" w:type="dxa"/>
              <w:start w:w="90" w:type="dxa"/>
              <w:bottom w:w="70" w:type="dxa"/>
              <w:end w:w="90" w:type="dxa"/>
            </w:tcMar>
            <w:vAlign w:val="center"/>
            <w:tcBorders>
              <w:top w:val="nil"/>
              <w:left w:val="nil"/>
              <w:bottom w:val="nil"/>
              <w:right w:val="nil"/>
              <w:insideH w:val="nil"/>
              <w:insideV w:val="nil"/>
            </w:tcBorders>
          </w:tcPr>
          <w:p>
            <w:pPr>
              <w:keepLines/>
              <w:spacing w:before="120" w:after="120"/>
              <w:ind w:firstLine="0"/>
              <w:jc w:val="center"/>
            </w:pPr>
            <w:r>
              <w:rPr>
                <w:rFonts w:ascii="Times New Roman" w:hAnsi="Times New Roman" w:eastAsia="Times New Roman" w:cs="Times New Roman"/>
                <w:i/>
                <w:sz w:val="26"/>
                <w:lang w:val="ru-RU" w:eastAsia="ru-RU" w:bidi="ru-RU"/>
                <w:color w:val="000000"/>
              </w:rPr>
              <w:t>Δη = ηAI − ηFOC;    CI₉₅ = mean(Δη) ± t₀,₉₇₅;N−1 · sΔ/√N</w:t>
            </w:r>
          </w:p>
        </w:tc>
        <w:tc>
          <w:tcPr>
            <w:tcW w:type="dxa" w:w="1133"/>
            <w:tcMar>
              <w:top w:w="70" w:type="dxa"/>
              <w:start w:w="90" w:type="dxa"/>
              <w:bottom w:w="70" w:type="dxa"/>
              <w:end w:w="90" w:type="dxa"/>
            </w:tcMar>
            <w:vAlign w:val="center"/>
            <w:tcBorders>
              <w:top w:val="nil"/>
              <w:left w:val="nil"/>
              <w:bottom w:val="nil"/>
              <w:right w:val="nil"/>
              <w:insideH w:val="nil"/>
              <w:insideV w:val="nil"/>
            </w:tcBorders>
          </w:tcPr>
          <w:p>
            <w:pPr>
              <w:ind w:firstLine="0"/>
              <w:jc w:val="right"/>
            </w:pPr>
            <w:r>
              <w:rPr>
                <w:rFonts w:ascii="Times New Roman" w:hAnsi="Times New Roman" w:eastAsia="Times New Roman" w:cs="Times New Roman"/>
                <w:sz w:val="28"/>
                <w:lang w:val="ru-RU" w:eastAsia="ru-RU" w:bidi="ru-RU"/>
                <w:color w:val="000000"/>
              </w:rPr>
              <w:t>(5.1)</w:t>
            </w:r>
          </w:p>
        </w:tc>
      </w:tr>
    </w:tbl>
    <w:p>
      <w:pPr/>
      <w:r>
        <w:rPr>
          <w:rFonts w:ascii="Times New Roman" w:hAnsi="Times New Roman" w:eastAsia="Times New Roman" w:cs="Times New Roman"/>
          <w:i w:val="0"/>
          <w:sz w:val="28"/>
          <w:lang w:val="ru-RU" w:eastAsia="ru-RU" w:bidi="ru-RU"/>
          <w:color w:val="000000"/>
        </w:rPr>
        <w:t>Нарушение ограничения тока, сквозной ток, отказ аппаратной остановки или потеря контроля над PWM рассматриваются как безусловный провал независимо от средней энергетической метрики. Алгоритм с лучшим КПД, но худшей безопасностью не принимается.</w:t>
      </w:r>
    </w:p>
    <w:p>
      <w:pPr/>
      <w:r>
        <w:rPr>
          <w:rFonts w:ascii="Times New Roman" w:hAnsi="Times New Roman" w:eastAsia="Times New Roman" w:cs="Times New Roman"/>
          <w:i w:val="0"/>
          <w:sz w:val="28"/>
          <w:lang w:val="ru-RU" w:eastAsia="ru-RU" w:bidi="ru-RU"/>
          <w:color w:val="000000"/>
        </w:rPr>
        <w:t>Для спектральных показателей длина окна, частота дискретизации и способ выбора основной гармоники фиксируются заранее. Архивная метрика THD-like по доминирующему FFT-бину не приравнивается к показанию сертифицированного анализатора качества электроэнергии.</w:t>
      </w:r>
    </w:p>
    <w:p>
      <w:pPr>
        <w:pStyle w:val="Heading2"/>
      </w:pPr>
      <w:r>
        <w:rPr>
          <w:rFonts w:ascii="Times New Roman" w:hAnsi="Times New Roman" w:eastAsia="Times New Roman" w:cs="Times New Roman"/>
          <w:lang w:val="ru-RU" w:eastAsia="ru-RU" w:bidi="ru-RU"/>
          <w:color w:val="000000"/>
        </w:rPr>
        <w:t>5.6 Критерии завершения этапов</w:t>
      </w:r>
    </w:p>
    <w:p>
      <w:pPr/>
      <w:r>
        <w:rPr>
          <w:rFonts w:ascii="Times New Roman" w:hAnsi="Times New Roman" w:eastAsia="Times New Roman" w:cs="Times New Roman"/>
          <w:i w:val="0"/>
          <w:sz w:val="28"/>
          <w:lang w:val="ru-RU" w:eastAsia="ru-RU" w:bidi="ru-RU"/>
          <w:color w:val="000000"/>
        </w:rPr>
        <w:t>Gate-критерии сведены в таблицу 5.5. Чек-лист силового допуска приведён в приложении Г, а связь задач с доказательствами — в приложении Д.</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5.5 — Gate-критерии дальнейших работ</w:t>
      </w:r>
    </w:p>
    <w:tbl>
      <w:tblPr>
        <w:tblStyle w:val="TableGrid"/>
        <w:tblW w:type="dxa" w:w="9921"/>
        <w:tblLayout w:type="fixed"/>
        <w:tblLook w:firstColumn="1" w:firstRow="1" w:lastColumn="0" w:lastRow="0" w:noHBand="0" w:noVBand="1" w:val="04A0"/>
        <w:tblInd w:w="0" w:type="dxa"/>
      </w:tblPr>
      <w:tblGrid>
        <w:gridCol w:w="2882"/>
        <w:gridCol w:w="7039"/>
      </w:tblGrid>
      <w:tr>
        <w:trPr>
          <w:tblHeader w:val="true"/>
          <w:cantSplit/>
        </w:trPr>
        <w:tc>
          <w:tcPr>
            <w:tcW w:type="dxa" w:w="2882"/>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Переход</w:t>
            </w:r>
          </w:p>
        </w:tc>
        <w:tc>
          <w:tcPr>
            <w:tcW w:type="dxa" w:w="7039"/>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Обязательные условия</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S0 → S1</w:t>
            </w:r>
          </w:p>
        </w:tc>
        <w:tc>
          <w:tcPr>
            <w:tcW w:type="dxa" w:w="70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Сборка PASS; профиль и хэши; выпущена полная схема; пассивная прозвонка</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S1 → S2</w:t>
            </w:r>
          </w:p>
        </w:tc>
        <w:tc>
          <w:tcPr>
            <w:tcW w:type="dxa" w:w="70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PWM/timeout и break наблюдаемы; аппаратный E-stop реализован; нет конфликтов пинов</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S2 → S3</w:t>
            </w:r>
          </w:p>
        </w:tc>
        <w:tc>
          <w:tcPr>
            <w:tcW w:type="dxa" w:w="70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Предзаряд, break, OCP и discharge прошли fault injection</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V/f → FOC</w:t>
            </w:r>
          </w:p>
        </w:tc>
        <w:tc>
          <w:tcPr>
            <w:tcW w:type="dxa" w:w="70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Измерены Rs, Rr, Lls, Llr, Lm, J; датчики откалиброваны</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FOC → ИИ shadow</w:t>
            </w:r>
          </w:p>
        </w:tc>
        <w:tc>
          <w:tcPr>
            <w:tcW w:type="dxa" w:w="70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FOC устойчив во всей тестовой области</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Shadow → ИИ active</w:t>
            </w:r>
          </w:p>
        </w:tc>
        <w:tc>
          <w:tcPr>
            <w:tcW w:type="dxa" w:w="70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OOD/fallback/Safety Gateway подтверждены HIL</w:t>
            </w:r>
          </w:p>
        </w:tc>
      </w:tr>
      <w:tr>
        <w:trPr>
          <w:cantSplit/>
        </w:trPr>
        <w:tc>
          <w:tcPr>
            <w:tcW w:type="dxa" w:w="2882"/>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50 Гц → field weakening</w:t>
            </w:r>
          </w:p>
        </w:tc>
        <w:tc>
          <w:tcPr>
            <w:tcW w:type="dxa" w:w="7039"/>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Механический, тепловой и электрический допуск</w:t>
            </w:r>
          </w:p>
        </w:tc>
      </w:tr>
    </w:tbl>
    <w:p>
      <w:pPr>
        <w:pStyle w:val="Heading2"/>
      </w:pPr>
      <w:r>
        <w:rPr>
          <w:rFonts w:ascii="Times New Roman" w:hAnsi="Times New Roman" w:eastAsia="Times New Roman" w:cs="Times New Roman"/>
          <w:lang w:val="ru-RU" w:eastAsia="ru-RU" w:bidi="ru-RU"/>
          <w:color w:val="000000"/>
        </w:rPr>
        <w:t>5.7 Выводы по главе 5</w:t>
      </w:r>
    </w:p>
    <w:p>
      <w:pPr/>
      <w:r>
        <w:rPr>
          <w:rFonts w:ascii="Times New Roman" w:hAnsi="Times New Roman" w:eastAsia="Times New Roman" w:cs="Times New Roman"/>
          <w:i w:val="0"/>
          <w:sz w:val="28"/>
          <w:lang w:val="ru-RU" w:eastAsia="ru-RU" w:bidi="ru-RU"/>
          <w:color w:val="000000"/>
        </w:rPr>
        <w:t>Проведённая программная проверка и разработанная методика эксперимента позволяют сделать следующие выводы:</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числовой профиль АИР56В2, статический контракт UNO Q — Nucleo и комплект прошивок прошли раздельные автоматизированные проверки; отдельный HV release-preflight остаётся в состоянии FAIL;</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сборка Nucleo завершена успешно, а журнал, размеры и хэши артефактов зафиксированы в манифесте;</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программный PASS подтверждает целостность конфигурации, но не фазировку, dead-time, точность АЦП, предзаряд и электрическую безопасность;</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эксперимент разбит на gate-этапы от статической проверки и низковольтного bench до HIL, V/f, FOC и ИИ A/B;</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5. любое нарушение защит считается провалом независимо от средней энергетической эффективности;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6. канонический manifest v6 прошёл 41/41 программных ворот, однако hardware_release_ready намеренно остаётся false;</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7. на едином holdout нейронная политика дала среднее снижение расчётных потерь 14.07 %, но ухудшила baseline в 58 режимах, поэтому активный actor требует supervisor и fallback;</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8. воспроизводимое SIL-моделирование является подготовительным уровнем доказательств и не подменяет физический эксперимент.</w:t>
      </w:r>
    </w:p>
    <w:p>
      <w:pPr>
        <w:pStyle w:val="Heading1"/>
      </w:pPr>
      <w:r>
        <w:rPr>
          <w:rFonts w:ascii="Times New Roman" w:hAnsi="Times New Roman" w:eastAsia="Times New Roman" w:cs="Times New Roman"/>
          <w:lang w:val="ru-RU" w:eastAsia="ru-RU" w:bidi="ru-RU"/>
          <w:color w:val="000000"/>
        </w:rPr>
        <w:t>ЗАКЛЮЧЕНИЕ</w:t>
      </w:r>
    </w:p>
    <w:p>
      <w:pPr/>
      <w:r>
        <w:rPr>
          <w:rFonts w:ascii="Times New Roman" w:hAnsi="Times New Roman" w:eastAsia="Times New Roman" w:cs="Times New Roman"/>
          <w:i w:val="0"/>
          <w:sz w:val="28"/>
          <w:lang w:val="ru-RU" w:eastAsia="ru-RU" w:bidi="ru-RU"/>
          <w:color w:val="000000"/>
        </w:rPr>
        <w:t>В рабочей редакции сформулирована научная задача повышения энергетической эффективности и робастности асинхронного тягового электропривода посредством ограниченной адаптации детерминированного FOC. Горизонтное интеллектуальное формирование ШИМ оставлено перспективным расширением и не включено в основной предмет доказывания. Тема соответствует направлениям паспорта специальности 2.9.3, связанным с тяговым приводом, силовыми преобразователями, автоматизацией, энергетическими потерями, моделированием и испытаниями.</w:t>
      </w:r>
    </w:p>
    <w:p>
      <w:pPr/>
      <w:r>
        <w:rPr>
          <w:rFonts w:ascii="Times New Roman" w:hAnsi="Times New Roman" w:eastAsia="Times New Roman" w:cs="Times New Roman"/>
          <w:i w:val="0"/>
          <w:sz w:val="28"/>
          <w:lang w:val="ru-RU" w:eastAsia="ru-RU" w:bidi="ru-RU"/>
          <w:color w:val="000000"/>
        </w:rPr>
        <w:t>Основные результаты, полученные на текущем этапе, состоят в следующем:</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 подготовлены прослеживаемая программная конфигурация и выпущенная многостраничная схема подключения NUCLEO-G431RB — X-NUCLEO-IHM09M2 — STEVAL-IPM15B — АИР56В2 с верхним уровнем UNO Q; физическая платформа ещё не прошла HIL-приёмку;</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2. числовой V/f-профиль согласован с каталожными данными 220 В Δ, 1,24 А, 50 Гц, 2720 об/мин и одной парой полюсов; фото шильдика конкретного экземпляра не приложено; внутри модели MCSDK используется эквивалентное фазное напряжение 127,017 В;</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3. программно реализован 32-байтовый UART-контракт версии 0x02 и разработана схема прямого подключения внутри общего HOT-домена; физический тракт ещё не собран и не проверен;</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4. подтверждены успешная сборка Nucleo с журналом 0 ошибок и 0 предупреждений, числовая согласованность проверяемой части V/f-профиля, статическая совместимость контрактов и целостность ELF/BIN/HEX по SHA-256;</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5. сформирована единая математическая основа V/f, dq-модели, FOC и SVPWM, позволяющая использовать одинаковые состояния и критерии в классическом и интеллектуальном управлении;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6. сформирован SIL-конвейер с ансамблем из 256 вариантов и manifest v6: пройдено 41/41 программных ворот при hardware_release_ready=false;</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7. на holdout из 600 режимов нейронная политика дала среднее снижение расчётных потерь 14.07 % и медианный разрыв от оптимума 0.37 %, но в 58 режимах ухудшила baseline, что обосновывает supervisor и fallback;</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8. для sensorless-наблюдателя подтверждена модельная область 15-45 Гц; 5 Гц и frozen FOC по одному паспортному набору отвергнуты;</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9. предложена иерархическая архитектура интеллектуальной адаптации, в которой обучаемая модель не имеет прямого доступа к силовым ключам, а каждая коррекция проверяется детерминированным Safety Gateway с параметрами конкретной платы;</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10. сформирован план сравнительных и абляционных исследований с gate-критериями, одинаковыми ограничениями, повторными опытами и доверительными интервалами;</w:t>
      </w:r>
    </w:p>
    <w:p>
      <w:pPr>
        <w:spacing w:line="360" w:lineRule="auto" w:after="0"/>
        <w:ind w:left="709" w:hanging="425"/>
        <w:jc w:val="left"/>
      </w:pPr>
      <w:r>
        <w:rPr>
          <w:rFonts w:ascii="Times New Roman" w:hAnsi="Times New Roman" w:eastAsia="Times New Roman" w:cs="Times New Roman"/>
          <w:sz w:val="28"/>
          <w:lang w:val="ru-RU" w:eastAsia="ru-RU" w:bidi="ru-RU"/>
          <w:color w:val="000000"/>
        </w:rPr>
        <w:t>11. установлены границы доказанного результата: текущий пакет готов к программным проверкам, осмотру и пассивной прозвонке будущего монтажа; активная низковольтная проверка PWM допускается только после выпуска полной схемы и проверки UART, break/OCP и аппаратного E-stop, а высоковольтный пуск, FOC и активное ИИ-управление запрещены.</w:t>
      </w:r>
    </w:p>
    <w:p>
      <w:pPr/>
      <w:r>
        <w:rPr>
          <w:rFonts w:ascii="Times New Roman" w:hAnsi="Times New Roman" w:eastAsia="Times New Roman" w:cs="Times New Roman"/>
          <w:i w:val="0"/>
          <w:sz w:val="28"/>
          <w:lang w:val="ru-RU" w:eastAsia="ru-RU" w:bidi="ru-RU"/>
          <w:color w:val="000000"/>
        </w:rPr>
        <w:t>Дальнейшая работа включает HIL-проверку защит, калибровку каналов, определение Rs, Rr, Lls, Llr, Lm и J, испытания V/f и FOC, затем ИИ в shadow mode и ограниченном активном режиме. Ослабление поля выше 50 Гц выделяется в отдельный опыт после механического и теплового допуска. Итоговые положения для защиты должны опираться на статистически подтверждённый стендовый результат; до него сохраняется различие между расчётным, программно проверенным и экспериментальным доказательством.</w:t>
      </w:r>
    </w:p>
    <w:p>
      <w:pPr>
        <w:pStyle w:val="Heading1"/>
      </w:pPr>
      <w:r>
        <w:rPr>
          <w:rFonts w:ascii="Times New Roman" w:hAnsi="Times New Roman" w:eastAsia="Times New Roman" w:cs="Times New Roman"/>
          <w:lang w:val="ru-RU" w:eastAsia="ru-RU" w:bidi="ru-RU"/>
          <w:color w:val="000000"/>
        </w:rPr>
        <w:t>СПИСОК ИЛЛЮСТРАТИВНОГО МАТЕРИАЛА</w:t>
      </w:r>
    </w:p>
    <w:p>
      <w:pPr>
        <w:pStyle w:val="Heading2"/>
      </w:pPr>
      <w:r>
        <w:rPr>
          <w:rFonts w:ascii="Times New Roman" w:hAnsi="Times New Roman" w:eastAsia="Times New Roman" w:cs="Times New Roman"/>
          <w:lang w:val="ru-RU" w:eastAsia="ru-RU" w:bidi="ru-RU"/>
          <w:color w:val="000000"/>
        </w:rPr>
        <w:t>Рисунки</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1 — Логика поэтапного развития исследуемой системы управления</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2.1 — Связь частоты и скорости для двигателя с одной парой полюсов</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2.2 — Расчётный закон V/f и перспективная область частот выше 50 Гц</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2.3 — Функциональная структура FOC с оцениванием потока</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2.4 — Допустимые пространственные векторы напряжения инвертора</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3.1 — Функциональная архитектура стенда и разделение ответственности</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3.2 — Структура 32-байтового командного кадра</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3.3 — Автомат безопасного запуска и остановки</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4.1 — Три уровня предлагаемой системы управления</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4.2 — Цикл данных, обучения и независимой верификации</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5.1 — Разделение подтверждённых и неподтверждённых результатов</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5.2 — Парное сравнение стратегий на общем holdout</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5.3 — Этапы экспериментальной верификации с критериями перехода</w:t>
      </w:r>
    </w:p>
    <w:p>
      <w:pPr>
        <w:spacing w:line="240" w:lineRule="auto" w:after="0"/>
        <w:ind w:left="425" w:hanging="425"/>
      </w:pPr>
      <w:r>
        <w:rPr>
          <w:rFonts w:ascii="Times New Roman" w:hAnsi="Times New Roman" w:eastAsia="Times New Roman" w:cs="Times New Roman"/>
          <w:sz w:val="24"/>
          <w:lang w:val="ru-RU" w:eastAsia="ru-RU" w:bidi="ru-RU"/>
          <w:color w:val="000000"/>
        </w:rPr>
        <w:t>Рисунок Б.1 — Формат командного кадра интерфейса</w:t>
      </w:r>
    </w:p>
    <w:p>
      <w:pPr>
        <w:pStyle w:val="Heading2"/>
      </w:pPr>
      <w:r>
        <w:rPr>
          <w:rFonts w:ascii="Times New Roman" w:hAnsi="Times New Roman" w:eastAsia="Times New Roman" w:cs="Times New Roman"/>
          <w:lang w:val="ru-RU" w:eastAsia="ru-RU" w:bidi="ru-RU"/>
          <w:color w:val="000000"/>
        </w:rPr>
        <w:t>Таблицы</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1 — Статус основных частей исследования</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2 — Принятые сокращения</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1.1 — Группы требований к системе управления</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1.2 — Критический обзор методов управления и адаптации</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2.1 — Каталожные и расчётные параметры АИР56В2</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3.1 — Основные компоненты платформы</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3.2 — Фактические параметры текущей конфигурации MCSDK</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3.3 — Поля командного кадра версии 0x02</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3.4 — Правила воспроизводимости</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4.1 — Основные инварианты Safety Gateway</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4.2 — Результаты архивной host-валидации цифрового двойника</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4.3 — План абляционных исследований</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5.1 — Результаты программных проверок</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5.2 — Канонические результаты SIL-конвейера AIR56B2</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5.3 — Интерпретация уровней доказательств</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5.4 — Основные экспериментальные сценарии</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5.5 — Gate-критерии дальнейших работ</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А.1 — Содержимое зафиксированного расчётного профиля</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Б.1 — Прямое соединение UART UNO Q — Nucleo</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В.1 — Идентификация опыта</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В.2 — Фиксация результатов</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Г.1 — Контроль перед подачей высокого напряжения</w:t>
      </w:r>
    </w:p>
    <w:p>
      <w:pPr>
        <w:spacing w:line="240" w:lineRule="auto" w:after="0"/>
        <w:ind w:left="425" w:hanging="425"/>
      </w:pPr>
      <w:r>
        <w:rPr>
          <w:rFonts w:ascii="Times New Roman" w:hAnsi="Times New Roman" w:eastAsia="Times New Roman" w:cs="Times New Roman"/>
          <w:sz w:val="24"/>
          <w:lang w:val="ru-RU" w:eastAsia="ru-RU" w:bidi="ru-RU"/>
          <w:color w:val="000000"/>
        </w:rPr>
        <w:t>Таблица Д.1 — Связь задач, программных объектов и подтверждений</w:t>
      </w:r>
    </w:p>
    <w:p>
      <w:pPr>
        <w:pStyle w:val="Heading1"/>
      </w:pPr>
      <w:r>
        <w:rPr>
          <w:rFonts w:ascii="Times New Roman" w:hAnsi="Times New Roman" w:eastAsia="Times New Roman" w:cs="Times New Roman"/>
          <w:lang w:val="ru-RU" w:eastAsia="ru-RU" w:bidi="ru-RU"/>
          <w:color w:val="000000"/>
        </w:rPr>
        <w:t>СПИСОК ЛИТЕРАТУРЫ</w:t>
      </w:r>
    </w:p>
    <w:p>
      <w:pPr>
        <w:pStyle w:val="Bibliography"/>
      </w:pPr>
      <w:r>
        <w:rPr>
          <w:rFonts w:ascii="Times New Roman" w:hAnsi="Times New Roman" w:eastAsia="Times New Roman" w:cs="Times New Roman"/>
          <w:sz w:val="24"/>
          <w:lang w:val="ru-RU" w:eastAsia="ru-RU" w:bidi="ru-RU"/>
          <w:color w:val="000000"/>
        </w:rPr>
        <w:t>1. Паспорт научной специальности 2.9.3 «Подвижной состав железных дорог, тяга поездов и электрификация» [Электронный ресурс]. URL: https://vak.gisnauka.ru/s3-files/01cc80c69fae4988a0246a8f5e2774e7:fisgna/public/media/uploaded/news_files/4dfe14e2-84dc-45c3-9909-718a368c5fe6/9f3cb2d7-2ce0-4598-845f-ee3298c_EhKPLK2.pdf (дата обращения: 25.08.2026).</w:t>
      </w:r>
    </w:p>
    <w:p>
      <w:pPr>
        <w:pStyle w:val="Bibliography"/>
      </w:pPr>
      <w:r>
        <w:rPr>
          <w:rFonts w:ascii="Times New Roman" w:hAnsi="Times New Roman" w:eastAsia="Times New Roman" w:cs="Times New Roman"/>
          <w:sz w:val="24"/>
          <w:lang w:val="ru-RU" w:eastAsia="ru-RU" w:bidi="ru-RU"/>
          <w:color w:val="000000"/>
        </w:rPr>
        <w:t>2. ГОСТ Р 7.0.11-2011. Система стандартов по информации, библиотечному и издательскому делу. Диссертация и автореферат диссертации. Структура и правила оформления. М.: Стандартинформ, 2012.</w:t>
      </w:r>
    </w:p>
    <w:p>
      <w:pPr>
        <w:pStyle w:val="Bibliography"/>
      </w:pPr>
      <w:r>
        <w:rPr>
          <w:rFonts w:ascii="Times New Roman" w:hAnsi="Times New Roman" w:eastAsia="Times New Roman" w:cs="Times New Roman"/>
          <w:sz w:val="24"/>
          <w:lang w:val="ru-RU" w:eastAsia="ru-RU" w:bidi="ru-RU"/>
          <w:color w:val="000000"/>
        </w:rPr>
        <w:t>3. Постановление Правительства Российской Федерации от 24.09.2013 № 842 «О порядке присуждения учёных степеней» (с изм. и доп.).</w:t>
      </w:r>
    </w:p>
    <w:p>
      <w:pPr>
        <w:pStyle w:val="Bibliography"/>
      </w:pPr>
      <w:r>
        <w:rPr>
          <w:rFonts w:ascii="Times New Roman" w:hAnsi="Times New Roman" w:eastAsia="Times New Roman" w:cs="Times New Roman"/>
          <w:sz w:val="24"/>
          <w:lang w:val="ru-RU" w:eastAsia="ru-RU" w:bidi="ru-RU"/>
          <w:color w:val="000000"/>
        </w:rPr>
        <w:t>4. Регламент о порядке принятия диссертационных работ советами по защите диссертаций ФГБОУ ВО ПГУПС [Электронный ресурс]. URL: https://www.pgups.ru/university/administration/the-scientific-council/dissertation-councils/D_44.2.004.04/ (дата обращения: 25.08.2026).</w:t>
      </w:r>
    </w:p>
    <w:p>
      <w:pPr>
        <w:pStyle w:val="Bibliography"/>
      </w:pPr>
      <w:r>
        <w:rPr>
          <w:rFonts w:ascii="Times New Roman" w:hAnsi="Times New Roman" w:eastAsia="Times New Roman" w:cs="Times New Roman"/>
          <w:sz w:val="24"/>
          <w:lang w:val="ru-RU" w:eastAsia="ru-RU" w:bidi="ru-RU"/>
          <w:color w:val="000000"/>
        </w:rPr>
        <w:t>5. Сычугов А. Н. Совершенствование систем управления электрическим подвижным составом: дис. ... канд. техн. наук. Санкт-Петербург, 2024.</w:t>
      </w:r>
    </w:p>
    <w:p>
      <w:pPr>
        <w:pStyle w:val="Bibliography"/>
      </w:pPr>
      <w:r>
        <w:rPr>
          <w:rFonts w:ascii="Times New Roman" w:hAnsi="Times New Roman" w:eastAsia="Times New Roman" w:cs="Times New Roman"/>
          <w:sz w:val="24"/>
          <w:lang w:val="ru-RU" w:eastAsia="ru-RU" w:bidi="ru-RU"/>
          <w:color w:val="000000"/>
        </w:rPr>
        <w:t>6. Ключев В. И. Теория электропривода. М.: Энергоатомиздат, 2001.</w:t>
      </w:r>
    </w:p>
    <w:p>
      <w:pPr>
        <w:pStyle w:val="Bibliography"/>
      </w:pPr>
      <w:r>
        <w:rPr>
          <w:rFonts w:ascii="Times New Roman" w:hAnsi="Times New Roman" w:eastAsia="Times New Roman" w:cs="Times New Roman"/>
          <w:sz w:val="24"/>
          <w:lang w:val="ru-RU" w:eastAsia="ru-RU" w:bidi="ru-RU"/>
          <w:color w:val="000000"/>
        </w:rPr>
        <w:t>7. Bose B. K. Modern Power Electronics and AC Drives. Upper Saddle River: Prentice Hall, 2002.</w:t>
      </w:r>
    </w:p>
    <w:p>
      <w:pPr>
        <w:pStyle w:val="Bibliography"/>
      </w:pPr>
      <w:r>
        <w:rPr>
          <w:rFonts w:ascii="Times New Roman" w:hAnsi="Times New Roman" w:eastAsia="Times New Roman" w:cs="Times New Roman"/>
          <w:sz w:val="24"/>
          <w:lang w:val="ru-RU" w:eastAsia="ru-RU" w:bidi="ru-RU"/>
          <w:color w:val="000000"/>
        </w:rPr>
        <w:t>8. Krause P. C., Wasynczuk O., Sudhoff S. D., Pekarek S. Analysis of Electric Machinery and Drive Systems. 3rd ed. Wiley-IEEE Press, 2013.</w:t>
      </w:r>
    </w:p>
    <w:p>
      <w:pPr>
        <w:pStyle w:val="Bibliography"/>
      </w:pPr>
      <w:r>
        <w:rPr>
          <w:rFonts w:ascii="Times New Roman" w:hAnsi="Times New Roman" w:eastAsia="Times New Roman" w:cs="Times New Roman"/>
          <w:sz w:val="24"/>
          <w:lang w:val="ru-RU" w:eastAsia="ru-RU" w:bidi="ru-RU"/>
          <w:color w:val="000000"/>
        </w:rPr>
        <w:t>9. Blaschke F. The principle of field orientation as applied to the new transvector closed-loop control system for rotating-field machines // Siemens Review. 1972. Vol. 34. P. 217-220.</w:t>
      </w:r>
    </w:p>
    <w:p>
      <w:pPr>
        <w:pStyle w:val="Bibliography"/>
      </w:pPr>
      <w:r>
        <w:rPr>
          <w:rFonts w:ascii="Times New Roman" w:hAnsi="Times New Roman" w:eastAsia="Times New Roman" w:cs="Times New Roman"/>
          <w:sz w:val="24"/>
          <w:lang w:val="ru-RU" w:eastAsia="ru-RU" w:bidi="ru-RU"/>
          <w:color w:val="000000"/>
        </w:rPr>
        <w:t>10. Holtz J. Sensorless control of induction motor drives // Proceedings of the IEEE. 2002. Vol. 90, no. 8. P. 1359-1394. DOI: 10.1109/JPROC.2002.800726.</w:t>
      </w:r>
    </w:p>
    <w:p>
      <w:pPr>
        <w:pStyle w:val="Bibliography"/>
      </w:pPr>
      <w:r>
        <w:rPr>
          <w:rFonts w:ascii="Times New Roman" w:hAnsi="Times New Roman" w:eastAsia="Times New Roman" w:cs="Times New Roman"/>
          <w:sz w:val="24"/>
          <w:lang w:val="ru-RU" w:eastAsia="ru-RU" w:bidi="ru-RU"/>
          <w:color w:val="000000"/>
        </w:rPr>
        <w:t>11. Vas P. Sensorless Vector and Direct Torque Control. Oxford: Oxford University Press, 1998.</w:t>
      </w:r>
    </w:p>
    <w:p>
      <w:pPr>
        <w:pStyle w:val="Bibliography"/>
      </w:pPr>
      <w:r>
        <w:rPr>
          <w:rFonts w:ascii="Times New Roman" w:hAnsi="Times New Roman" w:eastAsia="Times New Roman" w:cs="Times New Roman"/>
          <w:sz w:val="24"/>
          <w:lang w:val="ru-RU" w:eastAsia="ru-RU" w:bidi="ru-RU"/>
          <w:color w:val="000000"/>
        </w:rPr>
        <w:t>12. Kazmierkowski M. P., Krishnan R., Blaabjerg F. Control in Power Electronics: Selected Problems. Academic Press, 2002.</w:t>
      </w:r>
    </w:p>
    <w:p>
      <w:pPr>
        <w:pStyle w:val="Bibliography"/>
      </w:pPr>
      <w:r>
        <w:rPr>
          <w:rFonts w:ascii="Times New Roman" w:hAnsi="Times New Roman" w:eastAsia="Times New Roman" w:cs="Times New Roman"/>
          <w:sz w:val="24"/>
          <w:lang w:val="ru-RU" w:eastAsia="ru-RU" w:bidi="ru-RU"/>
          <w:color w:val="000000"/>
        </w:rPr>
        <w:t>13. Yang H.-T., Huang K.-Y., Huang C.-L. An artificial neural network based identification and control approach for the field-oriented induction motor // Electric Power Systems Research. 1994. Vol. 30, no. 1. P. 35-45. DOI: 10.1016/0378-7796(94)90057-4.</w:t>
      </w:r>
    </w:p>
    <w:p>
      <w:pPr>
        <w:pStyle w:val="Bibliography"/>
      </w:pPr>
      <w:r>
        <w:rPr>
          <w:rFonts w:ascii="Times New Roman" w:hAnsi="Times New Roman" w:eastAsia="Times New Roman" w:cs="Times New Roman"/>
          <w:sz w:val="24"/>
          <w:lang w:val="ru-RU" w:eastAsia="ru-RU" w:bidi="ru-RU"/>
          <w:color w:val="000000"/>
        </w:rPr>
        <w:t>14. Sahu A., Mohanty K. B., Mishra R. N. Development and experimental realization of an adaptive neural-based discrete model predictive direct torque and flux controller for induction motor drive // Applied Soft Computing. 2021. Vol. 108. Art. 107418. DOI: 10.1016/j.asoc.2021.107418.</w:t>
      </w:r>
    </w:p>
    <w:p>
      <w:pPr>
        <w:pStyle w:val="Bibliography"/>
      </w:pPr>
      <w:r>
        <w:rPr>
          <w:rFonts w:ascii="Times New Roman" w:hAnsi="Times New Roman" w:eastAsia="Times New Roman" w:cs="Times New Roman"/>
          <w:sz w:val="24"/>
          <w:lang w:val="ru-RU" w:eastAsia="ru-RU" w:bidi="ru-RU"/>
          <w:color w:val="000000"/>
        </w:rPr>
        <w:t>15. Struharňanský Ľ., Vittek J., Makyš P., Ilončiak J. Vector Control Techniques for Traction Drive with Induction Machines - Comparison // Procedia Engineering. 2017. Vol. 192. P. 851-856. DOI: 10.1016/j.proeng.2017.06.147.</w:t>
      </w:r>
    </w:p>
    <w:p>
      <w:pPr>
        <w:pStyle w:val="Bibliography"/>
      </w:pPr>
      <w:r>
        <w:rPr>
          <w:rFonts w:ascii="Times New Roman" w:hAnsi="Times New Roman" w:eastAsia="Times New Roman" w:cs="Times New Roman"/>
          <w:sz w:val="24"/>
          <w:lang w:val="ru-RU" w:eastAsia="ru-RU" w:bidi="ru-RU"/>
          <w:color w:val="000000"/>
        </w:rPr>
        <w:t>16. Gadoue S. M., Giaouris D., Finch J. W. Artificial intelligence-based speed control of DTC induction motor drives - A comparative study // Electric Power Systems Research. 2009. Vol. 79, no. 1. P. 210-219. DOI: 10.1016/j.epsr.2008.05.024.</w:t>
      </w:r>
    </w:p>
    <w:p>
      <w:pPr>
        <w:pStyle w:val="Bibliography"/>
      </w:pPr>
      <w:r>
        <w:rPr>
          <w:rFonts w:ascii="Times New Roman" w:hAnsi="Times New Roman" w:eastAsia="Times New Roman" w:cs="Times New Roman"/>
          <w:sz w:val="24"/>
          <w:lang w:val="ru-RU" w:eastAsia="ru-RU" w:bidi="ru-RU"/>
          <w:color w:val="000000"/>
        </w:rPr>
        <w:t>17. Szoke E., Szabo C., Pintilie L.-N. Artificial Intelligence-Based Sensorless Control of Induction Motors with Dual-Field Orientation // Applied Sciences. 2025. Vol. 15, no. 16. Art. 8919. DOI: 10.3390/app15168919.</w:t>
      </w:r>
    </w:p>
    <w:p>
      <w:pPr>
        <w:pStyle w:val="Bibliography"/>
      </w:pPr>
      <w:r>
        <w:rPr>
          <w:rFonts w:ascii="Times New Roman" w:hAnsi="Times New Roman" w:eastAsia="Times New Roman" w:cs="Times New Roman"/>
          <w:sz w:val="24"/>
          <w:lang w:val="ru-RU" w:eastAsia="ru-RU" w:bidi="ru-RU"/>
          <w:color w:val="000000"/>
        </w:rPr>
        <w:t>18. Mouodo L. V. A., Axaopoulos P., Patrice N. N. T., Abdelkerim A. A., Kibong M. T., Mouzong M. P., Tamba J. G. Design of an optimal vector control of an induction motor for electric vehicles // Results in Engineering. 2026. Vol. 30. Art. 110164. DOI: 10.1016/j.rineng.2026.110164.</w:t>
      </w:r>
    </w:p>
    <w:p>
      <w:pPr>
        <w:pStyle w:val="Bibliography"/>
      </w:pPr>
      <w:r>
        <w:rPr>
          <w:rFonts w:ascii="Times New Roman" w:hAnsi="Times New Roman" w:eastAsia="Times New Roman" w:cs="Times New Roman"/>
          <w:sz w:val="24"/>
          <w:lang w:val="ru-RU" w:eastAsia="ru-RU" w:bidi="ru-RU"/>
          <w:color w:val="000000"/>
        </w:rPr>
        <w:t>19. STMicroelectronics. STM32G431x6/x8/xB Data Sheet [Электронный ресурс]. URL: https://www.st.com/resource/en/datasheet/stm32g431rb.pdf (дата обращения: 25.08.2026).</w:t>
      </w:r>
    </w:p>
    <w:p>
      <w:pPr>
        <w:pStyle w:val="Bibliography"/>
      </w:pPr>
      <w:r>
        <w:rPr>
          <w:rFonts w:ascii="Times New Roman" w:hAnsi="Times New Roman" w:eastAsia="Times New Roman" w:cs="Times New Roman"/>
          <w:sz w:val="24"/>
          <w:lang w:val="ru-RU" w:eastAsia="ru-RU" w:bidi="ru-RU"/>
          <w:color w:val="000000"/>
        </w:rPr>
        <w:t>20. STMicroelectronics. STEVAL-IPM15B product page [Электронный ресурс]. URL: https://www.st.com/en/evaluation-tools/steval-ipm15b.html (дата обращения: 25.08.2026).</w:t>
      </w:r>
    </w:p>
    <w:p>
      <w:pPr>
        <w:pStyle w:val="Bibliography"/>
      </w:pPr>
      <w:r>
        <w:rPr>
          <w:rFonts w:ascii="Times New Roman" w:hAnsi="Times New Roman" w:eastAsia="Times New Roman" w:cs="Times New Roman"/>
          <w:sz w:val="24"/>
          <w:lang w:val="ru-RU" w:eastAsia="ru-RU" w:bidi="ru-RU"/>
          <w:color w:val="000000"/>
        </w:rPr>
        <w:t>21. STMicroelectronics. UM2014. 1500 W motor control power board based on STGIB15CH60TS-L SLLIMM 2nd series IPM [Электронный ресурс]. URL: https://www.st.com/resource/en/user_manual/um2014-1500-w-motor-control-power-board-based-on-stgib15ch60tsl-sllimm-2nd-series-ipm-stmicroelectronics.pdf (дата обращения: 25.08.2026).</w:t>
      </w:r>
    </w:p>
    <w:p>
      <w:pPr>
        <w:pStyle w:val="Bibliography"/>
      </w:pPr>
      <w:r>
        <w:rPr>
          <w:rFonts w:ascii="Times New Roman" w:hAnsi="Times New Roman" w:eastAsia="Times New Roman" w:cs="Times New Roman"/>
          <w:sz w:val="24"/>
          <w:lang w:val="ru-RU" w:eastAsia="ru-RU" w:bidi="ru-RU"/>
          <w:color w:val="000000"/>
        </w:rPr>
        <w:t>22. STMicroelectronics. UM3030. Getting started with the X-NUCLEO-IHM09M2 motor-control connector expansion board [Электронный ресурс]. URL: https://www.st.com/resource/en/user_manual/um3030-getting-started-with-the-xnucleoihm09m2-motor-control-connector-expansion-board-for-stm32-nucleo-stmicroelectronics.pdf (дата обращения: 25.08.2026).</w:t>
      </w:r>
    </w:p>
    <w:p>
      <w:pPr>
        <w:pStyle w:val="Bibliography"/>
      </w:pPr>
      <w:r>
        <w:rPr>
          <w:rFonts w:ascii="Times New Roman" w:hAnsi="Times New Roman" w:eastAsia="Times New Roman" w:cs="Times New Roman"/>
          <w:sz w:val="24"/>
          <w:lang w:val="ru-RU" w:eastAsia="ru-RU" w:bidi="ru-RU"/>
          <w:color w:val="000000"/>
        </w:rPr>
        <w:t>23. STMicroelectronics. X-CUBE-MCSDK Motor Control Software Development Kit [Электронный ресурс]. URL: https://www.st.com/en/embedded-software/x-cube-mcsdk.html (дата обращения: 25.08.2026).</w:t>
      </w:r>
    </w:p>
    <w:p>
      <w:pPr>
        <w:pStyle w:val="Bibliography"/>
      </w:pPr>
      <w:r>
        <w:rPr>
          <w:rFonts w:ascii="Times New Roman" w:hAnsi="Times New Roman" w:eastAsia="Times New Roman" w:cs="Times New Roman"/>
          <w:sz w:val="24"/>
          <w:lang w:val="ru-RU" w:eastAsia="ru-RU" w:bidi="ru-RU"/>
          <w:color w:val="000000"/>
        </w:rPr>
        <w:t>24. STMicroelectronics. STM32 Motor Control AC induction motor wiki: V/F and LSO-FOC [Электронный ресурс]. URL: https://wiki.st.com/stm32mcu/wiki/STM32_MC_ACIM (дата обращения: 25.08.2026).</w:t>
      </w:r>
    </w:p>
    <w:p>
      <w:pPr>
        <w:pStyle w:val="Bibliography"/>
      </w:pPr>
      <w:r>
        <w:rPr>
          <w:rFonts w:ascii="Times New Roman" w:hAnsi="Times New Roman" w:eastAsia="Times New Roman" w:cs="Times New Roman"/>
          <w:sz w:val="24"/>
          <w:lang w:val="ru-RU" w:eastAsia="ru-RU" w:bidi="ru-RU"/>
          <w:color w:val="000000"/>
        </w:rPr>
        <w:t>25. Arduino. UNO Q hardware documentation [Электронный ресурс]. URL: https://docs.arduino.cc/hardware/uno-q (дата обращения: 25.08.2026).</w:t>
      </w:r>
    </w:p>
    <w:p>
      <w:pPr>
        <w:pStyle w:val="Bibliography"/>
      </w:pPr>
      <w:r>
        <w:rPr>
          <w:rFonts w:ascii="Times New Roman" w:hAnsi="Times New Roman" w:eastAsia="Times New Roman" w:cs="Times New Roman"/>
          <w:sz w:val="24"/>
          <w:lang w:val="ru-RU" w:eastAsia="ru-RU" w:bidi="ru-RU"/>
          <w:color w:val="000000"/>
        </w:rPr>
        <w:t>26. IEK. Электродвигатели асинхронные трёхфазные серии АИР. Каталог [Электронный ресурс]. URL: https://cdn-01.iek.ru/media/original/78c31060549010eaa9a1bb1f4f6d2d8cb3155062b138bfd13478f55521c38a47.pdf (дата обращения: 25.08.2026).</w:t>
      </w:r>
    </w:p>
    <w:p>
      <w:pPr>
        <w:pStyle w:val="Bibliography"/>
      </w:pPr>
      <w:r>
        <w:rPr>
          <w:rFonts w:ascii="Times New Roman" w:hAnsi="Times New Roman" w:eastAsia="Times New Roman" w:cs="Times New Roman"/>
          <w:sz w:val="24"/>
          <w:lang w:val="ru-RU" w:eastAsia="ru-RU" w:bidi="ru-RU"/>
          <w:color w:val="000000"/>
        </w:rPr>
        <w:t>27. IEC 61800-5-2:2016. Adjustable speed electrical power drive systems. Safety requirements. Functional.</w:t>
      </w:r>
    </w:p>
    <w:p>
      <w:pPr>
        <w:pStyle w:val="Bibliography"/>
      </w:pPr>
      <w:r>
        <w:rPr>
          <w:rFonts w:ascii="Times New Roman" w:hAnsi="Times New Roman" w:eastAsia="Times New Roman" w:cs="Times New Roman"/>
          <w:sz w:val="24"/>
          <w:lang w:val="ru-RU" w:eastAsia="ru-RU" w:bidi="ru-RU"/>
          <w:color w:val="000000"/>
        </w:rPr>
        <w:t>28. IEC 61800-3:2017. Adjustable speed electrical power drive systems. EMC requirements and specific test methods.</w:t>
      </w:r>
    </w:p>
    <w:p>
      <w:pPr>
        <w:pStyle w:val="Bibliography"/>
      </w:pPr>
      <w:r>
        <w:rPr>
          <w:rFonts w:ascii="Times New Roman" w:hAnsi="Times New Roman" w:eastAsia="Times New Roman" w:cs="Times New Roman"/>
          <w:sz w:val="24"/>
          <w:lang w:val="ru-RU" w:eastAsia="ru-RU" w:bidi="ru-RU"/>
          <w:color w:val="000000"/>
        </w:rPr>
        <w:t>29. IEEE Std 112-2017. Standard Test Procedure for Polyphase Induction Motors and Generators.</w:t>
      </w:r>
    </w:p>
    <w:p>
      <w:pPr>
        <w:pStyle w:val="Bibliography"/>
      </w:pPr>
      <w:r>
        <w:rPr>
          <w:rFonts w:ascii="Times New Roman" w:hAnsi="Times New Roman" w:eastAsia="Times New Roman" w:cs="Times New Roman"/>
          <w:sz w:val="24"/>
          <w:lang w:val="ru-RU" w:eastAsia="ru-RU" w:bidi="ru-RU"/>
          <w:color w:val="000000"/>
        </w:rPr>
        <w:t>30. ISO 26262-6:2018. Road vehicles. Functional safety. Product development at the software level. Используется методически для принципов safety case; не является отраслевым стандартом железнодорожного привода.</w:t>
      </w:r>
    </w:p>
    <w:p>
      <w:pPr>
        <w:pStyle w:val="Heading1"/>
      </w:pPr>
      <w:r>
        <w:rPr>
          <w:rFonts w:ascii="Times New Roman" w:hAnsi="Times New Roman" w:eastAsia="Times New Roman" w:cs="Times New Roman"/>
          <w:lang w:val="ru-RU" w:eastAsia="ru-RU" w:bidi="ru-RU"/>
          <w:color w:val="000000"/>
        </w:rPr>
        <w:t>ПРИЛОЖЕНИЕ А</w:t>
        <w:br/>
        <w:t>Каталожный и расчётный профиль двигателя АИР56В2</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А.1 — Содержимое зафиксированного расчётного профиля</w:t>
      </w:r>
    </w:p>
    <w:tbl>
      <w:tblPr>
        <w:tblStyle w:val="TableGrid"/>
        <w:tblW w:type="dxa" w:w="9921"/>
        <w:tblLayout w:type="fixed"/>
        <w:tblLook w:firstColumn="1" w:firstRow="1" w:lastColumn="0" w:lastRow="0" w:noHBand="0" w:noVBand="1" w:val="04A0"/>
        <w:tblInd w:w="0" w:type="dxa"/>
      </w:tblPr>
      <w:tblGrid>
        <w:gridCol w:w="3603"/>
        <w:gridCol w:w="6318"/>
      </w:tblGrid>
      <w:tr>
        <w:trPr>
          <w:tblHeader w:val="true"/>
          <w:cantSplit/>
        </w:trPr>
        <w:tc>
          <w:tcPr>
            <w:tcW w:type="dxa" w:w="360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Поле</w:t>
            </w:r>
          </w:p>
        </w:tc>
        <w:tc>
          <w:tcPr>
            <w:tcW w:type="dxa" w:w="6318"/>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Значение</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schema</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mic_ai.mcsdk.acim_motor_profile.v1</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motor_label</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IEK AIR56B2 0.25 kW 220/380 V Delta/Y</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pole_pairs</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rated_line_voltage_v</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220.0</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controller_equivalent_phase_voltage_v</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127.017059</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rated_current_a</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1.24</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rated_frequency_hz</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50.0</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rated_speed_rpm</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2720.0</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rated_power_w</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250.0</w:t>
            </w:r>
          </w:p>
        </w:tc>
      </w:tr>
      <w:tr>
        <w:trPr>
          <w:cantSplit/>
        </w:trPr>
        <w:tc>
          <w:tcPr>
            <w:tcW w:type="dxa" w:w="3603"/>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connection</w:t>
            </w:r>
          </w:p>
        </w:tc>
        <w:tc>
          <w:tcPr>
            <w:tcW w:type="dxa" w:w="631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delta</w:t>
            </w:r>
          </w:p>
        </w:tc>
      </w:tr>
    </w:tbl>
    <w:p>
      <w:pPr/>
      <w:r>
        <w:rPr>
          <w:rFonts w:ascii="Times New Roman" w:hAnsi="Times New Roman" w:eastAsia="Times New Roman" w:cs="Times New Roman"/>
          <w:i w:val="0"/>
          <w:sz w:val="28"/>
          <w:lang w:val="ru-RU" w:eastAsia="ru-RU" w:bidi="ru-RU"/>
          <w:color w:val="000000"/>
        </w:rPr>
        <w:t>Примечание — Rs, Rr, Lls, Llr, Lm и J не измерены для целевого АИР56В2 и поэтому не включены в таблицу. В импортированном IOC сохранились демонстрационные значения Rs=2,85; Rr=0,7; Lls=Llr=0,003; Lm=0,1485, тогда как сгенерированный acim_motor_parameters.h содержит RS=0,35. Это выявленное противоречие подтверждает, что ни одно из значений нельзя считать параметром целевого двигателя; настройка FOC запрещена до идентификации.</w:t>
      </w:r>
    </w:p>
    <w:p>
      <w:pPr>
        <w:spacing w:line="360" w:lineRule="auto" w:before="0" w:after="0"/>
        <w:ind w:firstLine="0"/>
        <w:jc w:val="left"/>
      </w:pPr>
      <w:r>
        <w:rPr>
          <w:rFonts w:ascii="Times New Roman" w:hAnsi="Times New Roman" w:eastAsia="Times New Roman" w:cs="Times New Roman"/>
          <w:b w:val="0"/>
          <w:sz w:val="24"/>
          <w:lang w:val="ru-RU" w:eastAsia="ru-RU" w:bidi="ru-RU"/>
          <w:color w:val="000000"/>
        </w:rPr>
        <w:t>Каталог проекта: mcsdk_reference/.../AIR56B2_025KW_220V_DELTA_NAMEPLATE_VF_NOT_FOR_HV. Слово NAMEPLATE в этом унаследованном идентификаторе каталога не является доказательством происхождения профиля. Маркер NOT_FOR_HV не удаляется до выполнения gate-критериев приложения Г.</w:t>
      </w:r>
    </w:p>
    <w:p>
      <w:pPr>
        <w:pStyle w:val="Heading1"/>
      </w:pPr>
      <w:r>
        <w:rPr>
          <w:rFonts w:ascii="Times New Roman" w:hAnsi="Times New Roman" w:eastAsia="Times New Roman" w:cs="Times New Roman"/>
          <w:lang w:val="ru-RU" w:eastAsia="ru-RU" w:bidi="ru-RU"/>
          <w:color w:val="000000"/>
        </w:rPr>
        <w:t>ПРИЛОЖЕНИЕ Б</w:t>
        <w:br/>
        <w:t>Таблица соединения UART верхнего уровня</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Б.1 — Прямое соединение UART UNO Q — Nucleo</w:t>
      </w:r>
    </w:p>
    <w:tbl>
      <w:tblPr>
        <w:tblStyle w:val="TableGrid"/>
        <w:tblW w:type="dxa" w:w="9921"/>
        <w:tblLayout w:type="fixed"/>
        <w:tblLook w:firstColumn="1" w:firstRow="1" w:lastColumn="0" w:lastRow="0" w:noHBand="0" w:noVBand="1" w:val="04A0"/>
        <w:tblInd w:w="0" w:type="dxa"/>
      </w:tblPr>
      <w:tblGrid>
        <w:gridCol w:w="2265"/>
        <w:gridCol w:w="2573"/>
        <w:gridCol w:w="2573"/>
        <w:gridCol w:w="2510"/>
      </w:tblGrid>
      <w:tr>
        <w:trPr>
          <w:tblHeader w:val="true"/>
          <w:cantSplit/>
        </w:trPr>
        <w:tc>
          <w:tcPr>
            <w:tcW w:type="dxa" w:w="226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Сигнал</w:t>
            </w:r>
          </w:p>
        </w:tc>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UNO Q</w:t>
            </w:r>
          </w:p>
        </w:tc>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NUCLEO-G431RB</w:t>
            </w:r>
          </w:p>
        </w:tc>
        <w:tc>
          <w:tcPr>
            <w:tcW w:type="dxa" w:w="2510"/>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Условие</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Команда в привод</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D1 / PB6 / Serial1 TX</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PB7 / USART1_RX</w:t>
            </w:r>
          </w:p>
        </w:tc>
        <w:tc>
          <w:tcPr>
            <w:tcW w:type="dxa" w:w="251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прямой UART 3,3 В</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Ответ</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D0 / PB7 / Serial1 RX</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PB6 / USART1_TX</w:t>
            </w:r>
          </w:p>
        </w:tc>
        <w:tc>
          <w:tcPr>
            <w:tcW w:type="dxa" w:w="251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прямой UART 3,3 В</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Опорный потенциал</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GND UNO Q</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GND Nucleo</w:t>
            </w:r>
          </w:p>
        </w:tc>
        <w:tc>
          <w:tcPr>
            <w:tcW w:type="dxa" w:w="251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общая HOT_GND = J7 DC−</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Питание 3,3 В</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 соединять с Nucleo</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 соединять с UNO Q</w:t>
            </w:r>
          </w:p>
        </w:tc>
        <w:tc>
          <w:tcPr>
            <w:tcW w:type="dxa" w:w="251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каждая плата от своего источника</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Программный ESTOP</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flags=0x02</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MC_StopMotor1(); latch fault</w:t>
            </w:r>
          </w:p>
        </w:tc>
        <w:tc>
          <w:tcPr>
            <w:tcW w:type="dxa" w:w="251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не заменяет аппаратный E-stop</w:t>
            </w:r>
          </w:p>
        </w:tc>
      </w:tr>
      <w:tr>
        <w:trPr>
          <w:cantSplit/>
        </w:trPr>
        <w:tc>
          <w:tcPr>
            <w:tcW w:type="dxa" w:w="2265"/>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Рабочий внешний интерфейс</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Wi-Fi</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проводов наружу нет</w:t>
            </w:r>
          </w:p>
        </w:tc>
        <w:tc>
          <w:tcPr>
            <w:tcW w:type="dxa" w:w="251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USB/ST-Link только без силовой части</w:t>
            </w:r>
          </w:p>
        </w:tc>
      </w:tr>
    </w:tbl>
    <w:p>
      <w:pPr>
        <w:keepNext/>
        <w:spacing w:before="180" w:after="0"/>
        <w:ind w:firstLine="0"/>
        <w:jc w:val="center"/>
      </w:pPr>
      <w:r>
        <w:rPr>
          <w:rFonts w:ascii="Times New Roman" w:hAnsi="Times New Roman" w:eastAsia="Times New Roman" w:cs="Times New Roman"/>
          <w:lang w:val="ru-RU" w:eastAsia="ru-RU" w:bidi="ru-RU"/>
          <w:color w:val="000000"/>
        </w:rPr>
        <w:drawing>
          <wp:inline xmlns:a="http://schemas.openxmlformats.org/drawingml/2006/main" xmlns:pic="http://schemas.openxmlformats.org/drawingml/2006/picture">
            <wp:extent cx="5832000" cy="3045600"/>
            <wp:docPr id="14" name="Picture 14" title="Рисунок Б.1" descr="Рисунок Б.1 — Формат командного кадра интерфейса"/>
            <wp:cNvGraphicFramePr>
              <a:graphicFrameLocks noChangeAspect="1"/>
            </wp:cNvGraphicFramePr>
            <a:graphic>
              <a:graphicData uri="http://schemas.openxmlformats.org/drawingml/2006/picture">
                <pic:pic>
                  <pic:nvPicPr>
                    <pic:cNvPr id="0" name="fig07_uart.png"/>
                    <pic:cNvPicPr/>
                  </pic:nvPicPr>
                  <pic:blipFill>
                    <a:blip r:embed="rId16"/>
                    <a:stretch>
                      <a:fillRect/>
                    </a:stretch>
                  </pic:blipFill>
                  <pic:spPr>
                    <a:xfrm>
                      <a:off x="0" y="0"/>
                      <a:ext cx="5832000" cy="3045600"/>
                    </a:xfrm>
                    <a:prstGeom prst="rect"/>
                  </pic:spPr>
                </pic:pic>
              </a:graphicData>
            </a:graphic>
          </wp:inline>
        </w:drawing>
      </w:r>
    </w:p>
    <w:p>
      <w:pPr>
        <w:pStyle w:val="Caption"/>
        <w:keepNext w:val="0"/>
      </w:pPr>
      <w:r>
        <w:rPr>
          <w:rFonts w:ascii="Times New Roman" w:hAnsi="Times New Roman" w:eastAsia="Times New Roman" w:cs="Times New Roman"/>
          <w:lang w:val="ru-RU" w:eastAsia="ru-RU" w:bidi="ru-RU"/>
          <w:color w:val="000000"/>
        </w:rPr>
        <w:t>Рисунок Б.1 — Формат командного кадра интерфейса</w:t>
      </w:r>
    </w:p>
    <w:p>
      <w:pPr>
        <w:pStyle w:val="Heading1"/>
      </w:pPr>
      <w:r>
        <w:rPr>
          <w:rFonts w:ascii="Times New Roman" w:hAnsi="Times New Roman" w:eastAsia="Times New Roman" w:cs="Times New Roman"/>
          <w:lang w:val="ru-RU" w:eastAsia="ru-RU" w:bidi="ru-RU"/>
          <w:color w:val="000000"/>
        </w:rPr>
        <w:t>ПРИЛОЖЕНИЕ В</w:t>
        <w:br/>
        <w:t>Форма протокола стендового испытания</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В.1 — Идентификация опыта</w:t>
      </w:r>
    </w:p>
    <w:tbl>
      <w:tblPr>
        <w:tblStyle w:val="TableGrid"/>
        <w:tblW w:type="dxa" w:w="9921"/>
        <w:tblLayout w:type="fixed"/>
        <w:tblLook w:firstColumn="1" w:firstRow="1" w:lastColumn="0" w:lastRow="0" w:noHBand="0" w:noVBand="1" w:val="04A0"/>
        <w:tblInd w:w="0" w:type="dxa"/>
      </w:tblPr>
      <w:tblGrid>
        <w:gridCol w:w="3191"/>
        <w:gridCol w:w="6730"/>
      </w:tblGrid>
      <w:tr>
        <w:trPr>
          <w:tblHeader w:val="true"/>
          <w:cantSplit/>
        </w:trPr>
        <w:tc>
          <w:tcPr>
            <w:tcW w:type="dxa" w:w="319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Поле</w:t>
            </w:r>
          </w:p>
        </w:tc>
        <w:tc>
          <w:tcPr>
            <w:tcW w:type="dxa" w:w="6730"/>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Значение</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Дата и оператор</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Сценарий / номер повтора</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Алгоритм и версия</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SHA-256 Nucleo</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SHA-256 UNO Q</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Профиль двигателя</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Udc / ограничение тока</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Температура до / после</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Калибровка датчиков</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[ссылка на протокол]</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Результат gate</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PASS / FAIL</w:t>
            </w:r>
          </w:p>
        </w:tc>
      </w:tr>
      <w:tr>
        <w:trPr>
          <w:cantSplit/>
        </w:trPr>
        <w:tc>
          <w:tcPr>
            <w:tcW w:type="dxa" w:w="319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Замечания</w:t>
            </w:r>
          </w:p>
        </w:tc>
        <w:tc>
          <w:tcPr>
            <w:tcW w:type="dxa" w:w="673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[заполнить]</w:t>
            </w:r>
          </w:p>
        </w:tc>
      </w:tr>
    </w:tbl>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В.2 — Фиксация результатов</w:t>
      </w:r>
    </w:p>
    <w:tbl>
      <w:tblPr>
        <w:tblStyle w:val="TableGrid"/>
        <w:tblW w:type="dxa" w:w="9921"/>
        <w:tblLayout w:type="fixed"/>
        <w:tblLook w:firstColumn="1" w:firstRow="1" w:lastColumn="0" w:lastRow="0" w:noHBand="0" w:noVBand="1" w:val="04A0"/>
        <w:tblInd w:w="0" w:type="dxa"/>
      </w:tblPr>
      <w:tblGrid>
        <w:gridCol w:w="3088"/>
        <w:gridCol w:w="1750"/>
        <w:gridCol w:w="2368"/>
        <w:gridCol w:w="2715"/>
      </w:tblGrid>
      <w:tr>
        <w:trPr>
          <w:tblHeader w:val="true"/>
          <w:cantSplit/>
        </w:trPr>
        <w:tc>
          <w:tcPr>
            <w:tcW w:type="dxa" w:w="3088"/>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Метрика</w:t>
            </w:r>
          </w:p>
        </w:tc>
        <w:tc>
          <w:tcPr>
            <w:tcW w:type="dxa" w:w="1750"/>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Единица</w:t>
            </w:r>
          </w:p>
        </w:tc>
        <w:tc>
          <w:tcPr>
            <w:tcW w:type="dxa" w:w="2368"/>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Значение</w:t>
            </w:r>
          </w:p>
        </w:tc>
        <w:tc>
          <w:tcPr>
            <w:tcW w:type="dxa" w:w="271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Неопределённость</w:t>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КПД</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IAE скорости</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об</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RMS тока</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Максимальный ток</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А</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Пульсации момента</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Коммутационные события</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1/с</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Fallback</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число</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3088"/>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Fault</w:t>
            </w:r>
          </w:p>
        </w:tc>
        <w:tc>
          <w:tcPr>
            <w:tcW w:type="dxa" w:w="1750"/>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код</w:t>
            </w:r>
          </w:p>
        </w:tc>
        <w:tc>
          <w:tcPr>
            <w:tcW w:type="dxa" w:w="2368"/>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c>
          <w:tcPr>
            <w:tcW w:type="dxa" w:w="271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bl>
    <w:p>
      <w:pPr>
        <w:pStyle w:val="Heading1"/>
      </w:pPr>
      <w:r>
        <w:rPr>
          <w:rFonts w:ascii="Times New Roman" w:hAnsi="Times New Roman" w:eastAsia="Times New Roman" w:cs="Times New Roman"/>
          <w:lang w:val="ru-RU" w:eastAsia="ru-RU" w:bidi="ru-RU"/>
          <w:color w:val="000000"/>
        </w:rPr>
        <w:t>ПРИЛОЖЕНИЕ Г</w:t>
        <w:br/>
        <w:t>Чек-лист допуска к силовому запуску</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Г.1 — Контроль перед подачей высокого напряжения</w:t>
      </w:r>
    </w:p>
    <w:tbl>
      <w:tblPr>
        <w:tblStyle w:val="TableGrid"/>
        <w:tblW w:type="dxa" w:w="9921"/>
        <w:tblLayout w:type="fixed"/>
        <w:tblLook w:firstColumn="1" w:firstRow="1" w:lastColumn="0" w:lastRow="0" w:noHBand="0" w:noVBand="1" w:val="04A0"/>
        <w:tblInd w:w="0" w:type="dxa"/>
      </w:tblPr>
      <w:tblGrid>
        <w:gridCol w:w="721"/>
        <w:gridCol w:w="7245"/>
        <w:gridCol w:w="1955"/>
      </w:tblGrid>
      <w:tr>
        <w:trPr>
          <w:tblHeader w:val="true"/>
          <w:cantSplit/>
        </w:trPr>
        <w:tc>
          <w:tcPr>
            <w:tcW w:type="dxa" w:w="721"/>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w:t>
            </w:r>
          </w:p>
        </w:tc>
        <w:tc>
          <w:tcPr>
            <w:tcW w:type="dxa" w:w="724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Проверка</w:t>
            </w:r>
          </w:p>
        </w:tc>
        <w:tc>
          <w:tcPr>
            <w:tcW w:type="dxa" w:w="1955"/>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Отметка / подпись</w:t>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Фото шильдика и схема перемычек Δ подтверждены.</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2</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Измерены сопротивления обмоток; нет замыкания на корпус.</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3</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Параметры профиля соответствуют конкретному двигателю.</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4</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Предохранители, корпус, PE и разряд звена проверены.</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5</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Предзаряд реализован и HIL-проверен.</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6</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PWM запрещён до готовности Udc.</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7</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Break/OCP/E-stop останавливают привод без UART.</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8</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Timeout UART 300 мс проверен.</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9</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Фазировка токов и фаз двигателя проверена на низком напряжении.</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10</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Источник ограничен по напряжению и току.</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11</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Осциллограф и пробники рассчитаны на категорию измерения.</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12</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Назначен наблюдающий; зона ограждена; аварийное отключение доступно.</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r>
        <w:trPr>
          <w:cantSplit/>
        </w:trPr>
        <w:tc>
          <w:tcPr>
            <w:tcW w:type="dxa" w:w="721"/>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13</w:t>
            </w:r>
          </w:p>
        </w:tc>
        <w:tc>
          <w:tcPr>
            <w:tcW w:type="dxa" w:w="724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Разрешение на текущий этап подписано ответственным лицом.</w:t>
            </w:r>
          </w:p>
        </w:tc>
        <w:tc>
          <w:tcPr>
            <w:tcW w:type="dxa" w:w="1955"/>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r>
          </w:p>
        </w:tc>
      </w:tr>
    </w:tbl>
    <w:p>
      <w:pPr>
        <w:pStyle w:val="Heading1"/>
      </w:pPr>
      <w:r>
        <w:rPr>
          <w:rFonts w:ascii="Times New Roman" w:hAnsi="Times New Roman" w:eastAsia="Times New Roman" w:cs="Times New Roman"/>
          <w:lang w:val="ru-RU" w:eastAsia="ru-RU" w:bidi="ru-RU"/>
          <w:color w:val="000000"/>
        </w:rPr>
        <w:t>ПРИЛОЖЕНИЕ Д</w:t>
        <w:br/>
        <w:t>Матрица трассируемости задач и доказательств</w:t>
      </w:r>
    </w:p>
    <w:p>
      <w:pPr>
        <w:keepNext/>
        <w:pageBreakBefore w:val="0"/>
        <w:spacing w:before="180" w:after="60"/>
        <w:ind w:firstLine="0"/>
      </w:pPr>
      <w:r>
        <w:rPr>
          <w:rFonts w:ascii="Times New Roman" w:hAnsi="Times New Roman" w:eastAsia="Times New Roman" w:cs="Times New Roman"/>
          <w:sz w:val="24"/>
          <w:lang w:val="ru-RU" w:eastAsia="ru-RU" w:bidi="ru-RU"/>
          <w:color w:val="000000"/>
        </w:rPr>
        <w:t>Таблица Д.1 — Связь задач, программных объектов и подтверждений</w:t>
      </w:r>
    </w:p>
    <w:tbl>
      <w:tblPr>
        <w:tblStyle w:val="TableGrid"/>
        <w:tblW w:type="dxa" w:w="9921"/>
        <w:tblLayout w:type="fixed"/>
        <w:tblLook w:firstColumn="1" w:firstRow="1" w:lastColumn="0" w:lastRow="0" w:noHBand="0" w:noVBand="1" w:val="04A0"/>
        <w:tblInd w:w="0" w:type="dxa"/>
      </w:tblPr>
      <w:tblGrid>
        <w:gridCol w:w="2059"/>
        <w:gridCol w:w="2573"/>
        <w:gridCol w:w="2676"/>
        <w:gridCol w:w="2613"/>
      </w:tblGrid>
      <w:tr>
        <w:trPr>
          <w:tblHeader w:val="true"/>
          <w:cantSplit/>
        </w:trPr>
        <w:tc>
          <w:tcPr>
            <w:tcW w:type="dxa" w:w="2059"/>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Задача</w:t>
            </w:r>
          </w:p>
        </w:tc>
        <w:tc>
          <w:tcPr>
            <w:tcW w:type="dxa" w:w="257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Объект проекта</w:t>
            </w:r>
          </w:p>
        </w:tc>
        <w:tc>
          <w:tcPr>
            <w:tcW w:type="dxa" w:w="2676"/>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Текущее доказательство</w:t>
            </w:r>
          </w:p>
        </w:tc>
        <w:tc>
          <w:tcPr>
            <w:tcW w:type="dxa" w:w="2613"/>
            <w:shd w:fill="F2F3F4"/>
            <w:tcMar>
              <w:top w:w="70" w:type="dxa"/>
              <w:start w:w="90" w:type="dxa"/>
              <w:bottom w:w="70" w:type="dxa"/>
              <w:end w:w="90" w:type="dxa"/>
            </w:tcMar>
            <w:vAlign w:val="center"/>
          </w:tcPr>
          <w:p>
            <w:pPr>
              <w:spacing w:after="0"/>
              <w:ind w:firstLine="0"/>
              <w:jc w:val="center"/>
            </w:pPr>
            <w:r>
              <w:rPr>
                <w:rFonts w:ascii="Times New Roman" w:hAnsi="Times New Roman" w:eastAsia="Times New Roman" w:cs="Times New Roman"/>
                <w:b/>
                <w:sz w:val="24"/>
                <w:lang w:val="ru-RU" w:eastAsia="ru-RU" w:bidi="ru-RU"/>
                <w:color w:val="000000"/>
              </w:rPr>
              <w:t>Будущее доказательство</w:t>
            </w:r>
          </w:p>
        </w:tc>
      </w:tr>
      <w:tr>
        <w:trPr>
          <w:cantSplit/>
        </w:trPr>
        <w:tc>
          <w:tcPr>
            <w:tcW w:type="dxa" w:w="2059"/>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V/f, 0 &lt; f ≤ 50 Гц</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MCSDK AIR56B2 project</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Build PASS + числовая согласованность</w:t>
            </w:r>
          </w:p>
        </w:tc>
        <w:tc>
          <w:tcPr>
            <w:tcW w:type="dxa" w:w="261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Стенд S3</w:t>
            </w:r>
          </w:p>
        </w:tc>
      </w:tr>
      <w:tr>
        <w:trPr>
          <w:cantSplit/>
        </w:trPr>
        <w:tc>
          <w:tcPr>
            <w:tcW w:type="dxa" w:w="2059"/>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Безопасный UART</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main.c + UNOQ_MOTOR.ino</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Статический contract PASS</w:t>
            </w:r>
          </w:p>
        </w:tc>
        <w:tc>
          <w:tcPr>
            <w:tcW w:type="dxa" w:w="261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Runtime timeout + corrupted frames</w:t>
            </w:r>
          </w:p>
        </w:tc>
      </w:tr>
      <w:tr>
        <w:trPr>
          <w:cantSplit/>
        </w:trPr>
        <w:tc>
          <w:tcPr>
            <w:tcW w:type="dxa" w:w="2059"/>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Аппаратный останов</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break/OCP + будущий E-stop</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Break предусмотрен; E-stop отсутствует</w:t>
            </w:r>
          </w:p>
        </w:tc>
        <w:tc>
          <w:tcPr>
            <w:tcW w:type="dxa" w:w="261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Fault injection/HIL</w:t>
            </w:r>
          </w:p>
        </w:tc>
      </w:tr>
      <w:tr>
        <w:trPr>
          <w:cantSplit/>
        </w:trPr>
        <w:tc>
          <w:tcPr>
            <w:tcW w:type="dxa" w:w="2059"/>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FOC</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Encoder-observer FOC + MCSDK stage S2</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SIL 24/24; frozen nameplate FOC отклонён</w:t>
            </w:r>
          </w:p>
        </w:tc>
        <w:tc>
          <w:tcPr>
            <w:tcW w:type="dxa" w:w="261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S4 после аппаратной ID</w:t>
            </w:r>
          </w:p>
        </w:tc>
      </w:tr>
      <w:tr>
        <w:trPr>
          <w:cantSplit/>
        </w:trPr>
        <w:tc>
          <w:tcPr>
            <w:tcW w:type="dxa" w:w="2059"/>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ИИ-адаптация</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Policy, LUT и common benchmark</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600 holdout-точек; supervisor обязателен</w:t>
            </w:r>
          </w:p>
        </w:tc>
        <w:tc>
          <w:tcPr>
            <w:tcW w:type="dxa" w:w="261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Shadow + парный A/B</w:t>
            </w:r>
          </w:p>
        </w:tc>
      </w:tr>
      <w:tr>
        <w:trPr>
          <w:cantSplit/>
        </w:trPr>
        <w:tc>
          <w:tcPr>
            <w:tcW w:type="dxa" w:w="2059"/>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ИИ-ШИМ</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SNH-PWM prototype</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Gateway fault injection</w:t>
            </w:r>
          </w:p>
        </w:tc>
        <w:tc>
          <w:tcPr>
            <w:tcW w:type="dxa" w:w="261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MCU timing + HIL</w:t>
            </w:r>
          </w:p>
        </w:tc>
      </w:tr>
      <w:tr>
        <w:trPr>
          <w:cantSplit/>
        </w:trPr>
        <w:tc>
          <w:tcPr>
            <w:tcW w:type="dxa" w:w="2059"/>
            <w:tcMar>
              <w:top w:w="70" w:type="dxa"/>
              <w:start w:w="90" w:type="dxa"/>
              <w:bottom w:w="70" w:type="dxa"/>
              <w:end w:w="90" w:type="dxa"/>
            </w:tcMar>
            <w:vAlign w:val="center"/>
          </w:tcPr>
          <w:p>
            <w:pPr>
              <w:spacing w:after="0" w:line="240" w:lineRule="auto"/>
              <w:ind w:firstLine="0"/>
              <w:jc w:val="left"/>
            </w:pPr>
            <w:r>
              <w:rPr>
                <w:rFonts w:ascii="Times New Roman" w:hAnsi="Times New Roman" w:eastAsia="Times New Roman" w:cs="Times New Roman"/>
                <w:sz w:val="24"/>
                <w:lang w:val="ru-RU" w:eastAsia="ru-RU" w:bidi="ru-RU"/>
                <w:color w:val="000000"/>
              </w:rPr>
              <w:t>&gt;50 Гц</w:t>
            </w:r>
          </w:p>
        </w:tc>
        <w:tc>
          <w:tcPr>
            <w:tcW w:type="dxa" w:w="257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Field-weakening plan</w:t>
            </w:r>
          </w:p>
        </w:tc>
        <w:tc>
          <w:tcPr>
            <w:tcW w:type="dxa" w:w="2676"/>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Расчётная область</w:t>
            </w:r>
          </w:p>
        </w:tc>
        <w:tc>
          <w:tcPr>
            <w:tcW w:type="dxa" w:w="2613"/>
            <w:tcMar>
              <w:top w:w="70" w:type="dxa"/>
              <w:start w:w="90" w:type="dxa"/>
              <w:bottom w:w="70" w:type="dxa"/>
              <w:end w:w="90" w:type="dxa"/>
            </w:tcMar>
            <w:vAlign w:val="center"/>
          </w:tcPr>
          <w:p>
            <w:pPr>
              <w:spacing w:after="0" w:line="240" w:lineRule="auto"/>
              <w:ind w:firstLine="0"/>
              <w:jc w:val="center"/>
            </w:pPr>
            <w:r>
              <w:rPr>
                <w:rFonts w:ascii="Times New Roman" w:hAnsi="Times New Roman" w:eastAsia="Times New Roman" w:cs="Times New Roman"/>
                <w:sz w:val="24"/>
                <w:lang w:val="ru-RU" w:eastAsia="ru-RU" w:bidi="ru-RU"/>
                <w:color w:val="000000"/>
              </w:rPr>
              <w:t>Механический допуск</w:t>
            </w:r>
          </w:p>
        </w:tc>
      </w:tr>
    </w:tbl>
    <w:p>
      <w:pPr/>
      <w:r>
        <w:rPr>
          <w:rFonts w:ascii="Times New Roman" w:hAnsi="Times New Roman" w:eastAsia="Times New Roman" w:cs="Times New Roman"/>
          <w:i w:val="0"/>
          <w:sz w:val="28"/>
          <w:lang w:val="ru-RU" w:eastAsia="ru-RU" w:bidi="ru-RU"/>
          <w:color w:val="000000"/>
        </w:rPr>
        <w:t>Матрица трассируемости используется как индекс доказательств: каждой задаче ставятся в соответствие исходный объект, уже полученный результат и эксперимент, который ещё требуется выполнить. Строка считается закрытой только при наличии исходных данных, версии алгоритма, протокола измерения и воспроизводимого отчёта.</w:t>
      </w:r>
    </w:p>
    <w:p>
      <w:pPr/>
      <w:r>
        <w:rPr>
          <w:rFonts w:ascii="Times New Roman" w:hAnsi="Times New Roman" w:eastAsia="Times New Roman" w:cs="Times New Roman"/>
          <w:i w:val="0"/>
          <w:sz w:val="28"/>
          <w:lang w:val="ru-RU" w:eastAsia="ru-RU" w:bidi="ru-RU"/>
          <w:color w:val="000000"/>
        </w:rPr>
        <w:t>Слова PASS в колонке текущего доказательства относятся только к программной проверке указанного уровня. Они не означают допуск к подаче высокого напряжения и не заменяют будущие доказательства из последней колонки.</w:t>
      </w:r>
    </w:p>
    <w:p>
      <w:pPr/>
      <w:r>
        <w:rPr>
          <w:rFonts w:ascii="Times New Roman" w:hAnsi="Times New Roman" w:eastAsia="Times New Roman" w:cs="Times New Roman"/>
          <w:i w:val="0"/>
          <w:sz w:val="28"/>
          <w:lang w:val="ru-RU" w:eastAsia="ru-RU" w:bidi="ru-RU"/>
          <w:color w:val="000000"/>
        </w:rPr>
        <w:t>При изменении двигателя, платы, версии MCSDK, распиновки, протокола или параметров защиты формируется новая запись матрицы и новый комплект хэшей. Результаты предыдущей конфигурации не переносятся автоматически.</w:t>
      </w:r>
    </w:p>
    <w:sectPr w:rsidR="00FC693F" w:rsidRPr="0006063C" w:rsidSect="00034616">
      <w:headerReference w:type="default" r:id="rId9"/>
      <w:footerReference w:type="default" r:id="rId23"/>
      <w:headerReference w:type="first" r:id="rId24"/>
      <w:footerReference w:type="first" r:id="rId25"/>
      <w:pgSz w:w="11906" w:h="16838"/>
      <w:pgMar w:top="1134" w:right="567" w:bottom="1134" w:left="141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eastAsia="Times New Roman" w:cs="Times New Roman"/>
        <w:sz w:val="24"/>
        <w:lang w:val="ru-RU" w:eastAsia="ru-RU" w:bidi="ru-RU"/>
        <w:color w:val="000000"/>
      </w:rPr>
      <w:fldChar w:fldCharType="begin" w:dirty="true"/>
      <w:instrText xml:space="preserve">PAGE</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ru-RU" w:eastAsia="ru-RU" w:bidi="ru-RU"/>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sz w:val="28"/>
      <w:lang w:val="ru-RU" w:eastAsia="ru-RU" w:bidi="ru-RU"/>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lang w:val="ru-RU" w:eastAsia="ru-RU" w:bidi="ru-RU"/>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lang w:val="ru-RU" w:eastAsia="ru-RU" w:bidi="ru-RU"/>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lang w:val="ru-RU" w:eastAsia="ru-RU" w:bidi="ru-RU"/>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lang w:val="ru-RU" w:eastAsia="ru-RU" w:bidi="ru-RU"/>
      <w:color w:val="000000"/>
    </w:rPr>
  </w:style>
  <w:style w:type="paragraph" w:styleId="Heading1">
    <w:name w:val="heading 1"/>
    <w:basedOn w:val="Normal"/>
    <w:next w:val="Normal"/>
    <w:link w:val="Heading1Char"/>
    <w:uiPriority w:val="9"/>
    <w:qFormat/>
    <w:rsid w:val="00FC693F"/>
    <w:pPr>
      <w:keepNext/>
      <w:keepLines/>
      <w:pageBreakBefore/>
      <w:spacing w:before="0" w:after="360"/>
      <w:ind w:firstLine="0"/>
      <w:jc w:val="center"/>
      <w:outlineLvl w:val="0"/>
    </w:pPr>
    <w:rPr>
      <w:rFonts w:ascii="Times New Roman" w:hAnsi="Times New Roman" w:eastAsia="Times New Roman" w:cs="Times New Roman"/>
      <w:b/>
      <w:bCs/>
      <w:color w:val="000000"/>
      <w:sz w:val="28"/>
      <w:szCs w:val="28"/>
      <w:lang w:val="ru-RU" w:eastAsia="ru-RU" w:bidi="ru-RU"/>
    </w:rPr>
  </w:style>
  <w:style w:type="paragraph" w:styleId="Heading2">
    <w:name w:val="heading 2"/>
    <w:basedOn w:val="Normal"/>
    <w:next w:val="Normal"/>
    <w:link w:val="Heading2Char"/>
    <w:uiPriority w:val="9"/>
    <w:unhideWhenUsed/>
    <w:qFormat/>
    <w:rsid w:val="00FC693F"/>
    <w:pPr>
      <w:keepNext/>
      <w:keepLines/>
      <w:spacing w:before="360" w:after="120"/>
      <w:ind w:firstLine="0"/>
      <w:jc w:val="left"/>
      <w:outlineLvl w:val="1"/>
    </w:pPr>
    <w:rPr>
      <w:rFonts w:ascii="Times New Roman" w:hAnsi="Times New Roman" w:eastAsia="Times New Roman" w:cs="Times New Roman"/>
      <w:b/>
      <w:bCs/>
      <w:color w:val="000000"/>
      <w:sz w:val="28"/>
      <w:szCs w:val="26"/>
      <w:lang w:val="ru-RU" w:eastAsia="ru-RU" w:bidi="ru-RU"/>
    </w:rPr>
  </w:style>
  <w:style w:type="paragraph" w:styleId="Heading3">
    <w:name w:val="heading 3"/>
    <w:basedOn w:val="Normal"/>
    <w:next w:val="Normal"/>
    <w:link w:val="Heading3Char"/>
    <w:uiPriority w:val="9"/>
    <w:unhideWhenUsed/>
    <w:qFormat/>
    <w:rsid w:val="00FC693F"/>
    <w:pPr>
      <w:keepNext/>
      <w:keepLines/>
      <w:spacing w:before="240" w:after="60"/>
      <w:ind w:firstLine="0"/>
      <w:jc w:val="left"/>
      <w:outlineLvl w:val="2"/>
    </w:pPr>
    <w:rPr>
      <w:rFonts w:ascii="Times New Roman" w:hAnsi="Times New Roman" w:eastAsia="Times New Roman" w:cs="Times New Roman"/>
      <w:b/>
      <w:bCs/>
      <w:color w:val="000000"/>
      <w:sz w:val="28"/>
      <w:lang w:val="ru-RU" w:eastAsia="ru-RU" w:bidi="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lang w:val="ru-RU" w:eastAsia="ru-RU" w:bidi="ru-RU"/>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lang w:val="ru-RU" w:eastAsia="ru-RU" w:bidi="ru-RU"/>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lang w:val="ru-RU" w:eastAsia="ru-RU" w:bidi="ru-RU"/>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lang w:val="ru-RU" w:eastAsia="ru-RU" w:bidi="ru-RU"/>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lang w:val="ru-RU" w:eastAsia="ru-RU" w:bidi="ru-RU"/>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lang w:val="ru-RU" w:eastAsia="ru-RU" w:bidi="ru-RU"/>
    </w:rPr>
  </w:style>
  <w:style w:type="character" w:default="1" w:styleId="DefaultParagraphFont">
    <w:name w:val="Default Paragraph Font"/>
    <w:uiPriority w:val="1"/>
    <w:semiHidden/>
    <w:unhideWhenUsed/>
    <w:rPr>
      <w:rFonts w:ascii="Times New Roman" w:hAnsi="Times New Roman" w:eastAsia="Times New Roman" w:cs="Times New Roman"/>
      <w:lang w:val="ru-RU" w:eastAsia="ru-RU" w:bidi="ru-RU"/>
      <w:color w:val="000000"/>
    </w:rPr>
  </w:style>
  <w:style w:type="table" w:default="1" w:styleId="TableNormal">
    <w:name w:val="Normal Table"/>
    <w:uiPriority w:val="99"/>
    <w:semiHidden/>
    <w:unhideWhenUsed/>
    <w:rPr>
      <w:rFonts w:ascii="Times New Roman" w:hAnsi="Times New Roman" w:eastAsia="Times New Roman" w:cs="Times New Roman"/>
      <w:lang w:val="ru-RU" w:eastAsia="ru-RU" w:bidi="ru-RU"/>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eastAsia="Times New Roman" w:cs="Times New Roman"/>
      <w:lang w:val="ru-RU" w:eastAsia="ru-RU" w:bidi="ru-RU"/>
      <w:color w:val="000000"/>
    </w:rPr>
  </w:style>
  <w:style w:type="paragraph" w:styleId="NoSpacing">
    <w:name w:val="No Spacing"/>
    <w:uiPriority w:val="1"/>
    <w:qFormat/>
    <w:rsid w:val="00FC693F"/>
    <w:pPr>
      <w:spacing w:after="0" w:line="240" w:lineRule="auto"/>
    </w:pPr>
    <w:rPr>
      <w:rFonts w:ascii="Times New Roman" w:hAnsi="Times New Roman" w:eastAsia="Times New Roman" w:cs="Times New Roman"/>
      <w:lang w:val="ru-RU" w:eastAsia="ru-RU" w:bidi="ru-RU"/>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lang w:val="ru-RU" w:eastAsia="ru-RU" w:bidi="ru-RU"/>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lang w:val="ru-RU" w:eastAsia="ru-RU" w:bidi="ru-RU"/>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lang w:val="ru-RU" w:eastAsia="ru-RU" w:bidi="ru-RU"/>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lang w:val="ru-RU" w:eastAsia="ru-RU" w:bidi="ru-RU"/>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lang w:val="ru-RU" w:eastAsia="ru-RU" w:bidi="ru-RU"/>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lang w:val="ru-RU" w:eastAsia="ru-RU" w:bidi="ru-RU"/>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lang w:val="ru-RU" w:eastAsia="ru-RU" w:bidi="ru-RU"/>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lang w:val="ru-RU" w:eastAsia="ru-RU" w:bidi="ru-RU"/>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lang w:val="ru-RU" w:eastAsia="ru-RU" w:bidi="ru-RU"/>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lang w:val="ru-RU" w:eastAsia="ru-RU" w:bidi="ru-RU"/>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lang w:val="ru-RU" w:eastAsia="ru-RU" w:bidi="ru-RU"/>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lang w:val="ru-RU" w:eastAsia="ru-RU" w:bidi="ru-RU"/>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lang w:val="ru-RU" w:eastAsia="ru-RU" w:bidi="ru-RU"/>
      <w:color w:val="000000"/>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lang w:val="ru-RU" w:eastAsia="ru-RU" w:bidi="ru-RU"/>
      <w:color w:val="000000"/>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lang w:val="ru-RU" w:eastAsia="ru-RU" w:bidi="ru-RU"/>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lang w:val="ru-RU" w:eastAsia="ru-RU" w:bidi="ru-RU"/>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lang w:val="ru-RU" w:eastAsia="ru-RU" w:bidi="ru-RU"/>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lang w:val="ru-RU" w:eastAsia="ru-RU" w:bidi="ru-RU"/>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lang w:val="ru-RU" w:eastAsia="ru-RU" w:bidi="ru-RU"/>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lang w:val="ru-RU" w:eastAsia="ru-RU" w:bidi="ru-RU"/>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lang w:val="ru-RU" w:eastAsia="ru-RU" w:bidi="ru-RU"/>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lang w:val="ru-RU" w:eastAsia="ru-RU" w:bidi="ru-RU"/>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lang w:val="ru-RU" w:eastAsia="ru-RU" w:bidi="ru-RU"/>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lang w:val="ru-RU" w:eastAsia="ru-RU" w:bidi="ru-RU"/>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lang w:val="ru-RU" w:eastAsia="ru-RU" w:bidi="ru-RU"/>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lang w:val="ru-RU" w:eastAsia="ru-RU" w:bidi="ru-RU"/>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lang w:val="ru-RU" w:eastAsia="ru-RU" w:bidi="ru-RU"/>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lang w:val="ru-RU" w:eastAsia="ru-RU" w:bidi="ru-RU"/>
      <w:color w:val="00000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lang w:val="ru-RU" w:eastAsia="ru-RU" w:bidi="ru-RU"/>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lang w:val="ru-RU" w:eastAsia="ru-RU" w:bidi="ru-RU"/>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lang w:val="ru-RU" w:eastAsia="ru-RU" w:bidi="ru-RU"/>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lang w:val="ru-RU" w:eastAsia="ru-RU" w:bidi="ru-RU"/>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lang w:val="ru-RU" w:eastAsia="ru-RU" w:bidi="ru-RU"/>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lang w:val="ru-RU" w:eastAsia="ru-RU" w:bidi="ru-RU"/>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lang w:val="ru-RU" w:eastAsia="ru-RU" w:bidi="ru-RU"/>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lang w:val="ru-RU" w:eastAsia="ru-RU" w:bidi="ru-RU"/>
    </w:rPr>
  </w:style>
  <w:style w:type="paragraph" w:styleId="Caption">
    <w:name w:val="caption"/>
    <w:basedOn w:val="Normal"/>
    <w:next w:val="Normal"/>
    <w:uiPriority w:val="35"/>
    <w:semiHidden/>
    <w:unhideWhenUsed/>
    <w:qFormat/>
    <w:rsid w:val="00FC693F"/>
    <w:pPr>
      <w:keepNext/>
      <w:spacing w:line="240" w:lineRule="auto" w:before="60" w:after="180"/>
      <w:ind w:firstLine="0"/>
      <w:jc w:val="center"/>
    </w:pPr>
    <w:rPr>
      <w:rFonts w:ascii="Times New Roman" w:hAnsi="Times New Roman" w:eastAsia="Times New Roman" w:cs="Times New Roman"/>
      <w:b w:val="0"/>
      <w:bCs/>
      <w:i w:val="0"/>
      <w:color w:val="000000"/>
      <w:sz w:val="24"/>
      <w:szCs w:val="18"/>
      <w:lang w:val="ru-RU" w:eastAsia="ru-RU" w:bidi="ru-RU"/>
    </w:rPr>
  </w:style>
  <w:style w:type="character" w:styleId="Strong">
    <w:name w:val="Strong"/>
    <w:basedOn w:val="DefaultParagraphFont"/>
    <w:uiPriority w:val="22"/>
    <w:qFormat/>
    <w:rsid w:val="00FC693F"/>
    <w:rPr>
      <w:rFonts w:ascii="Times New Roman" w:hAnsi="Times New Roman" w:eastAsia="Times New Roman" w:cs="Times New Roman"/>
      <w:b/>
      <w:bCs/>
      <w:lang w:val="ru-RU" w:eastAsia="ru-RU" w:bidi="ru-RU"/>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lang w:val="ru-RU" w:eastAsia="ru-RU" w:bidi="ru-RU"/>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lang w:val="ru-RU" w:eastAsia="ru-RU" w:bidi="ru-RU"/>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lang w:val="ru-RU" w:eastAsia="ru-RU" w:bidi="ru-RU"/>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lang w:val="ru-RU" w:eastAsia="ru-RU" w:bidi="ru-RU"/>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lang w:val="ru-RU" w:eastAsia="ru-RU" w:bidi="ru-RU"/>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lang w:val="ru-RU" w:eastAsia="ru-RU" w:bidi="ru-RU"/>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lang w:val="ru-RU" w:eastAsia="ru-RU" w:bidi="ru-RU"/>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lang w:val="ru-RU" w:eastAsia="ru-RU" w:bidi="ru-RU"/>
      <w:color w:val="000000"/>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lang w:val="ru-RU" w:eastAsia="ru-RU" w:bidi="ru-RU"/>
      <w:color w:val="000000"/>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lang w:val="ru-RU" w:eastAsia="ru-RU" w:bidi="ru-RU"/>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lang w:val="ru-RU" w:eastAsia="ru-RU" w:bidi="ru-RU"/>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lang w:val="ru-RU" w:eastAsia="ru-RU" w:bidi="ru-RU"/>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pPr>
      <w:spacing w:line="240" w:lineRule="auto" w:after="0"/>
      <w:ind w:firstLine="0"/>
    </w:pPr>
    <w:rPr>
      <w:rFonts w:ascii="Times New Roman" w:hAnsi="Times New Roman" w:eastAsia="Times New Roman" w:cs="Times New Roman"/>
      <w:sz w:val="24"/>
      <w:lang w:val="ru-RU" w:eastAsia="ru-RU" w:bidi="ru-RU"/>
      <w:color w:val="000000"/>
    </w:rPr>
  </w:style>
  <w:style w:type="paragraph" w:customStyle="1" w:styleId="Bibliography">
    <w:name w:val="Bibliography"/>
    <w:pPr>
      <w:spacing w:line="240" w:lineRule="auto" w:after="60"/>
      <w:ind w:hanging="425" w:left="425"/>
    </w:pPr>
    <w:rPr>
      <w:rFonts w:ascii="Times New Roman" w:hAnsi="Times New Roman" w:eastAsia="Times New Roman" w:cs="Times New Roman"/>
      <w:sz w:val="24"/>
      <w:lang w:val="ru-RU" w:eastAsia="ru-RU" w:bidi="ru-RU"/>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footer" Target="footer1.xml"/><Relationship Id="rId24" Type="http://schemas.openxmlformats.org/officeDocument/2006/relationships/header" Target="header2.xml"/><Relationship Id="rId2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редакция диссертации по специальности 2.9.3</dc:title>
  <dc:subject>Асинхронный тяговый электропривод, FOC, ограниченная интеллектуальная адаптация</dc:subject>
  <dc:creator>Соискатель не указан; рабочая редакция проекта MIC_AI</dc:creator>
  <cp:keywords>2.9.3; асинхронный привод; FOC; AI; SVPWM; STM32G431; ПГУПС</cp:keywords>
  <dc:description>Рабочая редакция. Стендовые результаты не сфабрикованы и должны быть заполнены после испытаний.</dc:description>
  <cp:lastModifiedBy/>
  <cp:revision>1</cp:revision>
  <dcterms:created xsi:type="dcterms:W3CDTF">2026-08-27T23:47:02Z</dcterms:created>
  <dcterms:modified xsi:type="dcterms:W3CDTF">2026-08-27T23:47:02Z</dcterms:modified>
  <cp:category/>
</cp:coreProperties>
</file>