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Федеральное государственное бюджетное образовательное учреждение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высшего образования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«Петербургский государственный университет путей сообщения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Императора Александра I»</w:t>
        <w:br/>
      </w:r>
    </w:p>
    <w:p/>
    <w:p/>
    <w:p>
      <w:pPr>
        <w:spacing w:before="4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НАУЧНО-ТЕХНИЧЕСКИЙ ОТЧЁТ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программно-модельной подготовке электропривода AIR56B2</w:t>
      </w:r>
    </w:p>
    <w:p/>
    <w:p/>
    <w:p/>
    <w:p/>
    <w:p/>
    <w:p/>
    <w:p/>
    <w:p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Проект: MIC AI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Объект: АИР56В2, 0,25 кВт, 220 В, Δ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Версия результатов: 28.08.2026</w:t>
        <w:br/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отчёте зафиксирован завершённый объём программно-модельной подготовки экспериментального электропривода с асинхронным двигателем AIR56B2. Реализованы паспортно-ограниченный ансамбль моделей, скалярное и векторное управление, независимая бездатчиковая оценка скорости, модель потерь и температур, классическая оптимизация тока намагничивания, нейронная аппроксимация оптимума и единый воспроизводимый конвейер. Все приведённые результаты относятся к моделированию. Они не заменяют измерение параметров двигателя, низковольтную наладку и аппаратную проверку защит.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54"/>
      </w:tblGrid>
      <w:tr>
        <w:trPr>
          <w:tblHeader w:val="true"/>
        </w:trPr>
        <w:tc>
          <w:tcPr>
            <w:tcW w:type="dxa" w:w="42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5154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Программно-модельный пакет</w:t>
            </w:r>
          </w:p>
        </w:tc>
        <w:tc>
          <w:tcPr>
            <w:tcW w:type="dxa" w:w="5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Готовность к аппаратной идентификации</w:t>
            </w:r>
          </w:p>
        </w:tc>
        <w:tc>
          <w:tcPr>
            <w:tcW w:type="dxa" w:w="5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Разрешение силового аппаратного запуска</w:t>
            </w:r>
          </w:p>
        </w:tc>
        <w:tc>
          <w:tcPr>
            <w:tcW w:type="dxa" w:w="5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 w:val="true"/>
        </w:trPr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Флаг hardware_release_ready</w:t>
            </w:r>
          </w:p>
        </w:tc>
        <w:tc>
          <w:tcPr>
            <w:tcW w:type="dxa" w:w="5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false</w:t>
            </w:r>
          </w:p>
        </w:tc>
      </w:tr>
      <w:tr>
        <w:trPr>
          <w:cantSplit w:val="true"/>
        </w:trPr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Автоматические проверки</w:t>
            </w:r>
          </w:p>
        </w:tc>
        <w:tc>
          <w:tcPr>
            <w:tcW w:type="dxa" w:w="5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220 тестов: 169 + 34 + 17</w:t>
            </w:r>
          </w:p>
        </w:tc>
      </w:tr>
    </w:tbl>
    <w:p>
      <w:pPr>
        <w:spacing w:after="40"/>
      </w:pPr>
    </w:p>
    <w:p>
      <w:pPr>
        <w:pStyle w:val="Heading1"/>
      </w:pPr>
      <w:r>
        <w:t>1 Цель и границы исследования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этапа — подготовить на персональном компьютере проверяемую основу для последовательного перехода от открытого закона U/f к FOC, затем к адаптивной оптимизации и бездатчиковому управлению. Критерием завершения программной части принято наличие воспроизводимых артефактов, раздельных train/validation/holdout выборок, формализованных ворот безопасности и явного перечня проверок, которые невозможно выполнить без реальных плат и двигателя.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1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— Структура воспроизводимого программно-модельного контура</w:t>
      </w:r>
    </w:p>
    <w:p>
      <w:pPr>
        <w:pStyle w:val="Heading1"/>
      </w:pPr>
      <w:r>
        <w:t>2 Исходные данные и иерархия моделей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54"/>
      </w:tblGrid>
      <w:tr>
        <w:trPr>
          <w:tblHeader w:val="true"/>
        </w:trPr>
        <w:tc>
          <w:tcPr>
            <w:tcW w:type="dxa" w:w="43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5054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Паспортное значение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Тип двигателя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AIR56B2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Номинальная мощность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0,25 кВт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Напряжение и соединение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220 В, Δ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Номинальный ток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1,24 А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Частота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50 Гц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Номинальная скорость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2720 об/мин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cos φ / КПД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0,78 / 0,68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Число пар полюсов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Уровень F1 представляет одно-клеточную схему замещения, ограниченную паспортной рабочей точкой. Уровень F1S вводит феноменологическую поправку высокоскользящих потерь по паспортным кратностям пускового и максимального момента. Уровень F2 добавляет температурные коэффициенты, насыщение и механические потери как ограниченные приоры. Уровень F3 добавляет неидеальности инвертора, АЦП и AS5600. Электрические сопротивления, индуктивности, инерция и тепловые постоянные не объявляются паспортными или измеренными.</w:t>
      </w:r>
    </w:p>
    <w:p>
      <w:pPr>
        <w:pStyle w:val="Heading1"/>
      </w:pPr>
      <w:r>
        <w:t>3 Реализованные методы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Скалярный baseline.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Реализован закон U/f с ограничением напряжения, контролем токовой перегрузки и защитным шлюзом. Проверка охватывает четыре частоты: 5, 15, 30 и 50 Гц.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Векторное управление.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Oracle-FOC используется только как верхняя модельная граница и явно принимает полный simulated state. Отдельный encoder-observer FOC использует задержанные квантованные токи, напряжение звена и AS5600, но не истинные поток, угол или скорость.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Бездатчиковый наблюдатель.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Новый voltage/flux/slip observer принимает только восстановленное αβ-напряжение и измеренные токи. Валидация выполнена на независимой RK4-модели с состояниями тока статора и потока ротора.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Оптимизация и ИИ.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Классический constrained baseline минимизирует сумму медных, магнитных, механических и инверторных потерь по i_d. Нейронная политика является supervised-distillation этого optimum, а не аппаратно обученным регулятором.</w:t>
      </w:r>
    </w:p>
    <w:p>
      <w:pPr>
        <w:pStyle w:val="Heading1"/>
      </w:pPr>
      <w:r>
        <w:t>4 Численные результаты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354"/>
      </w:tblGrid>
      <w:tr>
        <w:trPr>
          <w:tblHeader w:val="true"/>
        </w:trPr>
        <w:tc>
          <w:tcPr>
            <w:tcW w:type="dxa" w:w="50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Проверка</w:t>
            </w:r>
          </w:p>
        </w:tc>
        <w:tc>
          <w:tcPr>
            <w:tcW w:type="dxa" w:w="4354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V/f, базовая выборка</w:t>
            </w:r>
          </w:p>
        </w:tc>
        <w:tc>
          <w:tcPr>
            <w:tcW w:type="dxa" w:w="43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24/24 PASS</w:t>
            </w:r>
          </w:p>
        </w:tc>
      </w:tr>
      <w:tr>
        <w:trPr>
          <w:cantSplit w:val="true"/>
        </w:trPr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V/f, рабочая матрица</w:t>
            </w:r>
          </w:p>
        </w:tc>
        <w:tc>
          <w:tcPr>
            <w:tcW w:type="dxa" w:w="43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48/48 PASS</w:t>
            </w:r>
          </w:p>
        </w:tc>
      </w:tr>
      <w:tr>
        <w:trPr>
          <w:cantSplit w:val="true"/>
        </w:trPr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Защитный шлюз</w:t>
            </w:r>
          </w:p>
        </w:tc>
        <w:tc>
          <w:tcPr>
            <w:tcW w:type="dxa" w:w="43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168/168 PASS</w:t>
            </w:r>
          </w:p>
        </w:tc>
      </w:tr>
      <w:tr>
        <w:trPr>
          <w:cantSplit w:val="true"/>
        </w:trPr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Encoder-observer FOC</w:t>
            </w:r>
          </w:p>
        </w:tc>
        <w:tc>
          <w:tcPr>
            <w:tcW w:type="dxa" w:w="43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24/24 PASS</w:t>
            </w:r>
          </w:p>
        </w:tc>
      </w:tr>
      <w:tr>
        <w:trPr>
          <w:cantSplit w:val="true"/>
        </w:trPr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Loss baseline</w:t>
            </w:r>
          </w:p>
        </w:tc>
        <w:tc>
          <w:tcPr>
            <w:tcW w:type="dxa" w:w="43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480/480 допустимых точек</w:t>
            </w:r>
          </w:p>
        </w:tc>
      </w:tr>
      <w:tr>
        <w:trPr>
          <w:cantSplit w:val="true"/>
        </w:trPr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Sensorless independent plant</w:t>
            </w:r>
          </w:p>
        </w:tc>
        <w:tc>
          <w:tcPr>
            <w:tcW w:type="dxa" w:w="43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средняя ошибка 5.42 рад/с</w:t>
            </w:r>
          </w:p>
        </w:tc>
      </w:tr>
      <w:tr>
        <w:trPr>
          <w:cantSplit w:val="true"/>
        </w:trPr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Neural policy holdout</w:t>
            </w:r>
          </w:p>
        </w:tc>
        <w:tc>
          <w:tcPr>
            <w:tcW w:type="dxa" w:w="43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600 точек, 0 нарушений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классического baseline медианное расчётное снижение суммарных потерь относительно фиксированного номинального потока составило 9.65 %, среднее — 12.90 %. На всех сопоставимых точках оптимизатор не ухудшил исходную уставку.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98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— Медианный выигрыш классической оптимизации по ансамблю F2/F3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независимом sensorless holdout для 15, 30 и 45 Гц средняя абсолютная ошибка скорости составила 5.42 рад/с, худшая средняя ошибка — 14.25 рад/с, а средняя относительная ошибка — 3.35 %. Диагностика 5 Гц сохраняется как неподтверждённая для аппаратного перехода: voltage-model наблюдатель принципиально чувствителен к смещению и ошибке R_s на малой частоте.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Нейронная политика проверена на 600 ранее не использованных точках. Медианный выигрыш относительно фиксированного потока равен 12.30 %, медианный разрыв от constrained optimum — 0.37 %, максимальный — 4.55 %. Нарушений ограничений по току и напряжению не зарегистрировано.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hold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3 — Распределение качества нейронной политики на holdout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едином парном holdout из 600 режимов классический constrained optimum дал среднее снижение расчётных потерь 14.63 %, нейронная политика — 14.07 %, ограниченный поиск экстремума — 14.63 %, а LUT с fallback — 13.78 %. Нейронная политика ухудшила фиксированный baseline в 58 из 600 точек; худшее изменение составило -2.87 %. Поэтому активное применение actor без надзорного контура и проверяемого fallback не допускается.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59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rol_benchm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9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4 — Парное сравнение стратегий управления на общем holdout</w:t>
      </w:r>
    </w:p>
    <w:p>
      <w:pPr>
        <w:pStyle w:val="Heading1"/>
      </w:pPr>
      <w:r>
        <w:t>5 Воспроизводимость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Полный пакет пересобирается командой powershell -ExecutionPolicy Bypass -File tools\run_air56b2_research_pipeline.ps1 -Full. Конвейер фиксирует Python, PyTorch, CUDA, драйвер и RTX 5070; пересоздаёт ансамбль 256 образцов; прогоняет тесты, train/validation/holdout, sensorless, policy и общий парный benchmark; затем формирует manifest v6 с SHA-256 каждого канонического JSON. Два независимых CUDA-smoke прогона FOC+PPO с seed 560225 дали побитно одинаковые actor, critic и metrics.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54"/>
      </w:tblGrid>
      <w:tr>
        <w:trPr>
          <w:tblHeader w:val="true"/>
        </w:trPr>
        <w:tc>
          <w:tcPr>
            <w:tcW w:type="dxa" w:w="4300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Артефакт</w:t>
            </w:r>
          </w:p>
        </w:tc>
        <w:tc>
          <w:tcPr>
            <w:tcW w:type="dxa" w:w="5054"/>
            <w:shd w:fill="D9D9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air56b2_research_manifest.json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единая цепочка доказательств и ворота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air56b2_fidelity_bundle.json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F1/F1S/F2/F3, 256 образцов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air56b2_loss_optimization_</w:t>
              <w:br/>
              <w:t>study.json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480 рабочих точек loss baseline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air56b2_sensorless_</w:t>
              <w:br/>
              <w:t>independent_plant_study.json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sensorless train/validation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air56b2_policy_benchmark.json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disjoint holdout нейронной политики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air56b2_common_control_</w:t>
              <w:br/>
              <w:t>benchmark.json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парное сравнение стратегий и 95%-е ДИ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air56b2_id_policy_actor.pt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simulation-only actor checkpoint</w:t>
            </w:r>
          </w:p>
        </w:tc>
      </w:tr>
      <w:tr>
        <w:trPr>
          <w:cantSplit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air56b2_id_ref_lut.h</w:t>
            </w:r>
          </w:p>
        </w:tc>
        <w:tc>
          <w:tcPr>
            <w:tcW w:type="dxa" w:w="50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LUT, аппаратный release отключён</w:t>
            </w:r>
          </w:p>
        </w:tc>
      </w:tr>
    </w:tbl>
    <w:p>
      <w:pPr>
        <w:spacing w:after="40"/>
      </w:pPr>
    </w:p>
    <w:p>
      <w:pPr>
        <w:pStyle w:val="Heading1"/>
      </w:pPr>
      <w:r>
        <w:t>6 Научная интерпретация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Полученные результаты поддерживают основную исследовательскую гипотезу: рабочий регулятор может не вычислять в каждом цикле полную параметрическую модель конкретного двигателя. Модель и constrained optimizer используются на этапе генерации и проверки политики, а в реальном контуре компактный actor или LUT формирует корректирующую уставку по измеряемой динамике и доступным оценкам. Это не абсолютный model-free подход: физическая модель сохраняется как обучающий, ограничивающий и верификационный слой.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Наиболее сильный научный результат текущего этапа — не величина модельного процента экономии сама по себе, а разделение ролей: oracle-модель задаёт верхнюю границу; независимый объект выявляет переобучение к реализации; classical optimum создаёт интерпретируемый baseline; holdout показывает аппроксимационную способность; hardware gate не позволяет перенести модельное утверждение на двигатель без измерений.</w:t>
      </w:r>
    </w:p>
    <w:p>
      <w:pPr>
        <w:pStyle w:val="Heading1"/>
      </w:pPr>
      <w:r>
        <w:t>7 Ограничения и незакрытые риски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Параметры R_s, R_r, L_σ, L_m, J и B пока не измерены на экземпляре AIR56B2.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F1S является феноменологической high-slip поправкой, а не идентифицированной двухклеточной схемой.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Потери в стали, switching-time equivalent и тепловые постоянные остаются simulation priors.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Низкоскоростной sensorless режим, регенерация и ослабление поля не разрешены для аппаратного release.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Actor и LUT не должны напрямую управлять ШИМ: обязательны saturation, current/voltage/temperature supervisor и fallback.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Силовая часть 310 В постоянного тока требует физического разрыва с ПК, аппаратного аварийного останова и безопасного разряда звена.</w:t>
      </w:r>
    </w:p>
    <w:p>
      <w:pPr>
        <w:pStyle w:val="Heading1"/>
      </w:pPr>
      <w:r>
        <w:t>8 Выводы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Программно-модельный этап завершён в объёме, достаточном для перехода к аппаратной идентификации и поэтапной стендовой проверке. Подготовлены скалярный baseline, encoder-observer FOC, экспериментальный sensorless observer, loss baseline, нейронная policy и LUT, а также единый manifest. Непосредственная высоковольтная эксплуатация не разрешена: следующий доказательный уровень начинается только после появления плат, измерения параметров и прохождения программы аппаратной верификации.</w:t>
      </w:r>
    </w:p>
    <w:p>
      <w:pPr>
        <w:pStyle w:val="Heading1"/>
      </w:pPr>
      <w:r>
        <w:t>Приложение А. Команда полного прогона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powershell -ExecutionPolicy Bypass -File tools\run_air56b2_research_pipeline.ps1 -Full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 w:val="0"/>
        <w:color w:val="000000"/>
        <w:sz w:val="18"/>
      </w:rPr>
      <w:t>MIC AI | AIR56B2 | научно-технический отчёт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