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  <w:bookmarkStart w:id="0" w:name="_GoBack"/>
            <w:bookmarkEnd w:id="0"/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E6738" w:rsidRDefault="003E6738" w:rsidP="003E6738">
            <w:pPr>
              <w:pStyle w:val="Tablekey"/>
            </w:pPr>
            <w:r w:rsidRPr="003E6738">
              <w:t>Tab</w:t>
            </w:r>
          </w:p>
        </w:tc>
        <w:tc>
          <w:tcPr>
            <w:tcW w:w="2943" w:type="dxa"/>
            <w:hideMark/>
          </w:tcPr>
          <w:p w14:paraId="3CA52E3C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Emmet expand abbreviation</w:t>
            </w:r>
          </w:p>
        </w:tc>
      </w:tr>
      <w:tr w:rsidR="003E6738" w:rsidRPr="003E6738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4C290562" w:rsidR="004F5AD3" w:rsidRDefault="00906404" w:rsidP="0090640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3C2303AC">
                <wp:simplePos x="0" y="0"/>
                <wp:positionH relativeFrom="margin">
                  <wp:posOffset>6680835</wp:posOffset>
                </wp:positionH>
                <wp:positionV relativeFrom="paragraph">
                  <wp:posOffset>1132205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89.15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F5AD3">
        <w:t xml:space="preserve">Editor </w:t>
      </w:r>
      <w:r w:rsidR="0023589C">
        <w:t>m</w:t>
      </w:r>
      <w:r w:rsidR="004F5AD3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4B3F4D79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CF55E2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B447B" w14:textId="77777777" w:rsidR="003713A5" w:rsidRDefault="003713A5" w:rsidP="00CC00D3">
      <w:pPr>
        <w:spacing w:after="0" w:line="240" w:lineRule="auto"/>
      </w:pPr>
      <w:r>
        <w:separator/>
      </w:r>
    </w:p>
  </w:endnote>
  <w:endnote w:type="continuationSeparator" w:id="0">
    <w:p w14:paraId="1293947F" w14:textId="77777777" w:rsidR="003713A5" w:rsidRDefault="003713A5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D5169" w14:textId="77777777" w:rsidR="003713A5" w:rsidRDefault="003713A5" w:rsidP="00CC00D3">
      <w:pPr>
        <w:spacing w:after="0" w:line="240" w:lineRule="auto"/>
      </w:pPr>
      <w:r>
        <w:separator/>
      </w:r>
    </w:p>
  </w:footnote>
  <w:footnote w:type="continuationSeparator" w:id="0">
    <w:p w14:paraId="02043EAB" w14:textId="77777777" w:rsidR="003713A5" w:rsidRDefault="003713A5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E323A"/>
    <w:rsid w:val="000E5FB5"/>
    <w:rsid w:val="00105CCB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F5DED"/>
    <w:rsid w:val="00301874"/>
    <w:rsid w:val="00332E9C"/>
    <w:rsid w:val="003713A5"/>
    <w:rsid w:val="00384B10"/>
    <w:rsid w:val="00393190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03A45"/>
    <w:rsid w:val="0057537E"/>
    <w:rsid w:val="0059433D"/>
    <w:rsid w:val="00620E6A"/>
    <w:rsid w:val="00646FEB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CE5E8-0024-495D-B895-E540C39D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35</cp:revision>
  <cp:lastPrinted>2016-10-25T19:32:00Z</cp:lastPrinted>
  <dcterms:created xsi:type="dcterms:W3CDTF">2016-10-29T04:28:00Z</dcterms:created>
  <dcterms:modified xsi:type="dcterms:W3CDTF">2017-09-21T15:32:00Z</dcterms:modified>
</cp:coreProperties>
</file>