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rFonts w:ascii="Times New Roman" w:cs="Times New Roman" w:eastAsia="Times New Roman" w:hAnsi="Times New Roman"/>
          <w:b/>
          <w:bCs/>
          <w:sz w:val="32"/>
          <w:szCs w:val="32"/>
        </w:rPr>
        <w:t xml:space="preserve">Adaptive Algorithmic Trading in Cryptocurrency Markets:</w:t>
      </w:r>
    </w:p>
    <w:p>
      <w:pPr>
        <w:spacing w:after="200"/>
        <w:jc w:val="center"/>
      </w:pPr>
      <w:r>
        <w:rPr>
          <w:rFonts w:ascii="Times New Roman" w:cs="Times New Roman" w:eastAsia="Times New Roman" w:hAnsi="Times New Roman"/>
          <w:b/>
          <w:bCs/>
          <w:sz w:val="28"/>
          <w:szCs w:val="28"/>
        </w:rPr>
        <w:t xml:space="preserve">A Complex Adaptive Systems Perspective on the Limits of</w:t>
      </w:r>
    </w:p>
    <w:p>
      <w:pPr>
        <w:spacing w:after="400"/>
        <w:jc w:val="center"/>
      </w:pPr>
      <w:r>
        <w:rPr>
          <w:rFonts w:ascii="Times New Roman" w:cs="Times New Roman" w:eastAsia="Times New Roman" w:hAnsi="Times New Roman"/>
          <w:b/>
          <w:bCs/>
          <w:sz w:val="28"/>
          <w:szCs w:val="28"/>
        </w:rPr>
        <w:t xml:space="preserve">Technical Analysis and AI-Driven Strategy Optimization</w:t>
      </w:r>
    </w:p>
    <w:p>
      <w:pPr>
        <w:spacing w:after="100"/>
        <w:jc w:val="center"/>
      </w:pPr>
      <w:r>
        <w:rPr>
          <w:rFonts w:ascii="Times New Roman" w:cs="Times New Roman" w:eastAsia="Times New Roman" w:hAnsi="Times New Roman"/>
          <w:i/>
          <w:iCs/>
          <w:sz w:val="22"/>
          <w:szCs w:val="22"/>
        </w:rPr>
        <w:t xml:space="preserve">Anonymous Author(s)</w:t>
      </w:r>
    </w:p>
    <w:p>
      <w:pPr>
        <w:spacing w:after="600"/>
        <w:jc w:val="center"/>
      </w:pPr>
      <w:r>
        <w:rPr>
          <w:rFonts w:ascii="Times New Roman" w:cs="Times New Roman" w:eastAsia="Times New Roman" w:hAnsi="Times New Roman"/>
          <w:color w:val="666666"/>
          <w:sz w:val="20"/>
          <w:szCs w:val="20"/>
        </w:rPr>
        <w:t xml:space="preserve">March 2026</w:t>
      </w:r>
    </w:p>
    <w:p>
      <w:pPr>
        <w:pStyle w:val="Heading1"/>
        <w:spacing w:after="200" w:before="360"/>
      </w:pPr>
      <w:r>
        <w:rPr>
          <w:rFonts w:ascii="Times New Roman" w:cs="Times New Roman" w:eastAsia="Times New Roman" w:hAnsi="Times New Roman"/>
          <w:b/>
          <w:bCs/>
          <w:sz w:val="28"/>
          <w:szCs w:val="28"/>
        </w:rPr>
        <w:t xml:space="preserve">Abstract</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This study presents an empirical investigation into the effectiveness of adaptive algorithmic trading strategies in cryptocurrency markets, using a complex adaptive systems (CAS) framework. We develop and iteratively refine a dual-mode trading system across three generations (V1, V2, V3), testing it on four major cryptocurrencies (BTC, ETH, SOL, BNB) over five distinct market regimes spanning 14 months (October 2024 to March 2026). The AI-assisted optimization process itself is documented as part of the methodology, providing insight into how human-AI collaboration shapes strategy development.</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Our findings are candid: across 20 experimental conditions (4 assets x 5 periods), no version of the algorithm consistently outperforms a simple buy-and-hold benchmark (mean alpha = -12.19%, p = 0.17, not statistically significant). However, the iterative refinement process yields measurable improvements in win rate (38.6% to 52.1%) and risk-adjusted metrics (Sharpe ratio from -2.65 to -1.06). The strategy demonstrates clear value in tail-risk reduction, with maximum drawdown averaging 4.9% versus 40%+ for buy-and-hold.</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Most notably, we identify a "Golden Zone" phenomenon in trend-strength scoring: signals in the 30-50 range achieve 63% win rates, while signals above 50 (indicating widespread algorithmic consensus) yield 0% win rates across 475 analyzed trades. We interpret this asymmetry through the lens of Soros's reflexivity theory and Lo's adaptive markets hypothesis, arguing that it reflects the self-defeating nature of crowded algorithmic strategies in complex adaptive markets.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We conclude that the primary value of algorithmic trading in cryptocurrency markets lies not in generating excess returns, but in providing systematic risk management and serving as a diagnostic instrument for understanding market complexity. For practitioners, the optimal human-AI solution is a hybrid approach: algorithmic risk management combined with passive exposure.</w:t>
      </w:r>
    </w:p>
    <w:p>
      <w:pPr>
        <w:spacing w:after="120" w:line="360"/>
        <w:jc w:val="both"/>
      </w:pPr>
      <w:r>
        <w:rPr>
          <w:rFonts w:ascii="Times New Roman" w:cs="Times New Roman" w:eastAsia="Times New Roman" w:hAnsi="Times New Roman"/>
          <w:b w:val="false"/>
          <w:bCs w:val="false"/>
          <w:i/>
          <w:iCs/>
          <w:sz w:val="22"/>
          <w:szCs w:val="22"/>
        </w:rPr>
        <w:t xml:space="preserve">Keywords: cryptocurrency, algorithmic trading, complex adaptive systems, market efficiency, risk management, AI-assisted optimization, reflexivity, adaptive markets hypothesis</w:t>
      </w:r>
    </w:p>
    <w:p>
      <w:r>
        <w:br w:type="page"/>
      </w:r>
    </w:p>
    <w:p>
      <w:pPr>
        <w:pStyle w:val="Heading1"/>
        <w:spacing w:after="200" w:before="360"/>
      </w:pPr>
      <w:r>
        <w:rPr>
          <w:rFonts w:ascii="Times New Roman" w:cs="Times New Roman" w:eastAsia="Times New Roman" w:hAnsi="Times New Roman"/>
          <w:b/>
          <w:bCs/>
          <w:sz w:val="28"/>
          <w:szCs w:val="28"/>
        </w:rPr>
        <w:t xml:space="preserve">1. Introduction</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The cryptocurrency market has grown from a niche experiment to a multi-trillion-dollar asset class, attracting both retail and institutional participants. This growth has been accompanied by a proliferation of algorithmic trading systems, with estimates suggesting that automated strategies account for over 70% of cryptocurrency trading volume on major exchanges (Makarov &amp; Schoar, 2020). A natural question arises: can a systematic, rule-based approach reliably extract profits from this market?</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Traditional finance offers two competing perspectives. The efficient market hypothesis (EMH) of Fama (1970) suggests that market prices fully reflect all available information, making consistent outperformance through technical analysis theoretically impossible. Recent empirical work on cryptocurrency markets has produced mixed evidence: Wei (2018) and Urquhart (2016) find significant departures from weak-form efficiency in Bitcoin, while Tran and Leirvik (2020) observe improving efficiency over time.</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An alternative framework is provided by complex adaptive systems (CAS) theory, which views financial markets as ecosystems of heterogeneous, interacting agents whose collective behavior generates emergent properties including volatility clustering, fat tails, and regime shifts (Arthur, 1999; Farmer &amp; Foley, 2009). Under this view, the market's "efficiency" is not a static property but a dynamic outcome of ongoing adaptation among participants.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Lo's (2004) adaptive markets hypothesis (AMH) synthesizes these perspectives, proposing that market efficiency varies over time as the population of trading strategies evolves. Crucially, the AMH predicts that profitable strategies attract imitation, which erodes their edge -- a phenomenon we observe directly in our empirical results.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This paper makes three contributions. First, we provide honest empirical evidence on the limitations of algorithmic trading in cryptocurrency markets, countering the publication bias toward positive results. Second, we document the process of AI-assisted strategy optimization, showing how a large language model (Claude, Anthropic) was used iteratively to diagnose strategy weaknesses and implement data-driven improvements. Third, we identify a "Golden Zone" pattern in trend-strength signals that provides direct empirical support for the reflexivity mechanism theorized by Soros (1987).</w:t>
      </w:r>
    </w:p>
    <w:p>
      <w:pPr>
        <w:pStyle w:val="Heading1"/>
        <w:spacing w:after="200" w:before="360"/>
      </w:pPr>
      <w:r>
        <w:rPr>
          <w:rFonts w:ascii="Times New Roman" w:cs="Times New Roman" w:eastAsia="Times New Roman" w:hAnsi="Times New Roman"/>
          <w:b/>
          <w:bCs/>
          <w:sz w:val="28"/>
          <w:szCs w:val="28"/>
        </w:rPr>
        <w:t xml:space="preserve">2. Theoretical Framework</w:t>
      </w:r>
    </w:p>
    <w:p>
      <w:pPr>
        <w:pStyle w:val="Heading2"/>
        <w:spacing w:after="160" w:before="280"/>
      </w:pPr>
      <w:r>
        <w:rPr>
          <w:rFonts w:ascii="Times New Roman" w:cs="Times New Roman" w:eastAsia="Times New Roman" w:hAnsi="Times New Roman"/>
          <w:b/>
          <w:bCs/>
          <w:sz w:val="24"/>
          <w:szCs w:val="24"/>
        </w:rPr>
        <w:t xml:space="preserve">2.1 Complex Adaptive Systems and Financial Markets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Holland (1992) defines a complex adaptive system as one in which a large number of agents interact, adapt, and co-evolve, producing aggregate behavior that cannot be predicted from the properties of individual agents alone. Financial markets satisfy all defining criteria: heterogeneous participants (retail, institutional, algorithmic), local interaction through order books, adaptation through learning and strategy revision, and emergent phenomena such as bubbles and crashes.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Arthur (1999) demonstrates through the Santa Fe Artificial Stock Market that even simple adaptive agents can produce realistic market dynamics including excess volatility, clustered volatility, and temporary predictability. Farmer and Skouras (2012) extend this work to show that algorithmic strategies face a fundamental dilemma: strategies that exploit a regularity necessarily alter the statistical properties of the market, potentially destroying the very pattern they exploit.</w:t>
      </w:r>
    </w:p>
    <w:p>
      <w:pPr>
        <w:pStyle w:val="Heading2"/>
        <w:spacing w:after="160" w:before="280"/>
      </w:pPr>
      <w:r>
        <w:rPr>
          <w:rFonts w:ascii="Times New Roman" w:cs="Times New Roman" w:eastAsia="Times New Roman" w:hAnsi="Times New Roman"/>
          <w:b/>
          <w:bCs/>
          <w:sz w:val="24"/>
          <w:szCs w:val="24"/>
        </w:rPr>
        <w:t xml:space="preserve">2.2 Reflexivity and Signal Decay</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Soros (1987) proposes that financial markets are characterized by reflexivity: participants' beliefs and actions influence market fundamentals, which in turn alter beliefs in a feedback loop. Unlike physical systems where observation does not change the observed, financial markets are fundamentally altered by the act of trading on a perceived pattern.</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This has direct implications for algorithmic trading. When a technical indicator (e.g., RSI &lt; 30 as an oversold signal) becomes widely adopted, the collective buying at that threshold creates a self-fulfilling prophecy initially. However, as more agents adopt the same signal, market makers and sophisticated participants learn to anticipate this behavior, positioning themselves to profit from the predictable order flow. The signal thus transitions from predictive to noise, or worse, to a trap.</w:t>
      </w:r>
    </w:p>
    <w:p>
      <w:pPr>
        <w:pStyle w:val="Heading2"/>
        <w:spacing w:after="160" w:before="280"/>
      </w:pPr>
      <w:r>
        <w:rPr>
          <w:rFonts w:ascii="Times New Roman" w:cs="Times New Roman" w:eastAsia="Times New Roman" w:hAnsi="Times New Roman"/>
          <w:b/>
          <w:bCs/>
          <w:sz w:val="24"/>
          <w:szCs w:val="24"/>
        </w:rPr>
        <w:t xml:space="preserve">2.3 The Adaptive Markets Hypothesis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Lo (2004, 2017) formalizes these insights into the adaptive markets hypothesis, which posits that market efficiency is not a fixed property but varies over time as the ecology of market participants evolves. Key predictions include: (1) the profitability of any trading strategy should decay as it becomes widely adopted; (2) opportunities may re-emerge after periods of disuse; (3) risk-return relationships are not static but regime-dependent.</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Our experimental design, which tests a strategy across five distinct market regimes, provides a direct empirical test of prediction (3).</w:t>
      </w:r>
    </w:p>
    <w:p>
      <w:r>
        <w:br w:type="page"/>
      </w:r>
    </w:p>
    <w:p>
      <w:pPr>
        <w:pStyle w:val="Heading1"/>
        <w:spacing w:after="200" w:before="360"/>
      </w:pPr>
      <w:r>
        <w:rPr>
          <w:rFonts w:ascii="Times New Roman" w:cs="Times New Roman" w:eastAsia="Times New Roman" w:hAnsi="Times New Roman"/>
          <w:b/>
          <w:bCs/>
          <w:sz w:val="28"/>
          <w:szCs w:val="28"/>
        </w:rPr>
        <w:t xml:space="preserve">3. System Design and AI-Assisted Development</w:t>
      </w:r>
    </w:p>
    <w:p>
      <w:pPr>
        <w:pStyle w:val="Heading2"/>
        <w:spacing w:after="160" w:before="280"/>
      </w:pPr>
      <w:r>
        <w:rPr>
          <w:rFonts w:ascii="Times New Roman" w:cs="Times New Roman" w:eastAsia="Times New Roman" w:hAnsi="Times New Roman"/>
          <w:b/>
          <w:bCs/>
          <w:sz w:val="24"/>
          <w:szCs w:val="24"/>
        </w:rPr>
        <w:t xml:space="preserve">3.1 Strategy Architecture</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The trading system employs a dual-mode architecture that dynamically switches between two operating modes based on real-time market conditions: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Trend-Following Mode (Golden Zone, trend score 30-50): Activated when trend strength is moderate, indicating a forming but not yet crowded trend. Uses relaxed entry conditions (RSI &lt; 45 or pullback to EMA-20), larger position sizing (3x base), and wider take-profit targets (15%). Sell signals from oscillators are suppressed to avoid premature exit.</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Mean-Reversion Mode (Range, trend score 0-30): Activated when no clear trend exists. Uses standard oscillator-based entry (RSI &lt; 35 and MACD confirmation) with fixed stop-loss (8%) and take-profit (10%).</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Danger Zone (trend score &gt; 55): Entry is blocked entirely. This zone was identified through post-hoc analysis of 475 trades, where scores above 50 produced a 0% win rate, consistent with the crowded-trade hypothesis.</w:t>
      </w:r>
    </w:p>
    <w:p>
      <w:pPr>
        <w:pStyle w:val="Heading2"/>
        <w:spacing w:after="160" w:before="280"/>
      </w:pPr>
      <w:r>
        <w:rPr>
          <w:rFonts w:ascii="Times New Roman" w:cs="Times New Roman" w:eastAsia="Times New Roman" w:hAnsi="Times New Roman"/>
          <w:b/>
          <w:bCs/>
          <w:sz w:val="24"/>
          <w:szCs w:val="24"/>
        </w:rPr>
        <w:t xml:space="preserve">3.2 Trend Strength Score</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The trend strength is a composite score (0-100) combining five weighted signals: EMA spread 20/50 (30 points), volume relative to 20-period average (20 points), 5-bar price momentum (25 points), consecutive directional candles (15 points), and MACD histogram magnitude (10 points). The score serves as a proxy for algorithmic consensus: higher scores indicate that more trend-following systems are likely generating buy signals simultaneously.</w:t>
      </w:r>
    </w:p>
    <w:p>
      <w:pPr>
        <w:pStyle w:val="Heading2"/>
        <w:spacing w:after="160" w:before="280"/>
      </w:pPr>
      <w:r>
        <w:rPr>
          <w:rFonts w:ascii="Times New Roman" w:cs="Times New Roman" w:eastAsia="Times New Roman" w:hAnsi="Times New Roman"/>
          <w:b/>
          <w:bCs/>
          <w:sz w:val="24"/>
          <w:szCs w:val="24"/>
        </w:rPr>
        <w:t xml:space="preserve">3.3 Smart Money Index</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We incorporate a contrarian institutional sentiment indicator derived from Binance perpetual futures data: funding rate, long/short account ratio, and taker buy/sell volume ratio. The index applies contrarian logic: when the majority of retail traders are positioned long (high funding rate, high L/S ratio), the index generates a bearish signal, reflecting the empirical observation that retail consensus tends to coincide with local price extremes (Easley et al., 2019).</w:t>
      </w:r>
    </w:p>
    <w:p>
      <w:pPr>
        <w:pStyle w:val="Heading2"/>
        <w:spacing w:after="160" w:before="280"/>
      </w:pPr>
      <w:r>
        <w:rPr>
          <w:rFonts w:ascii="Times New Roman" w:cs="Times New Roman" w:eastAsia="Times New Roman" w:hAnsi="Times New Roman"/>
          <w:b/>
          <w:bCs/>
          <w:sz w:val="24"/>
          <w:szCs w:val="24"/>
        </w:rPr>
        <w:t xml:space="preserve">3.4 AI-Assisted Iterative Refinement</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A distinctive feature of this study is the transparent documentation of how an AI system (Claude, Anthropic) was used as a collaborative tool throughout development. The process followed three generations: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V1 (Baseline): Initial composite strategy using RSI, MACD, Bollinger Bands, and Fear &amp; Greed Index with fixed parameters. Diagnosed problems: 39% win rate, overtrading (241 trades/period), stop-loss/DCA threshold conflict.</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V2 (Adaptive): AI-diagnosed fixes applied -- wider stop-loss, reduced trading frequency, volume and momentum filters. Results: win rate improved to 50%, trades reduced by 30%.</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V3 (Data-Driven): AI analyzed 475 individual trades to identify the Golden Zone pattern and Danger Zone. Implemented zone-based position sizing and entry blocking. Results: win rate 54%, best risk-adjusted metrics.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The AI's role was analytical (pattern detection in trade data) and generative (proposing parameter changes), while all decisions regarding implementation and evaluation were made by the human researcher. This reflects a human-AI collaboration model where AI augments rather than replaces human judgment.</w:t>
      </w:r>
    </w:p>
    <w:p>
      <w:r>
        <w:br w:type="page"/>
      </w:r>
    </w:p>
    <w:p>
      <w:pPr>
        <w:pStyle w:val="Heading1"/>
        <w:spacing w:after="200" w:before="360"/>
      </w:pPr>
      <w:r>
        <w:rPr>
          <w:rFonts w:ascii="Times New Roman" w:cs="Times New Roman" w:eastAsia="Times New Roman" w:hAnsi="Times New Roman"/>
          <w:b/>
          <w:bCs/>
          <w:sz w:val="28"/>
          <w:szCs w:val="28"/>
        </w:rPr>
        <w:t xml:space="preserve">4. Experimental Design</w:t>
      </w:r>
    </w:p>
    <w:p>
      <w:pPr>
        <w:pStyle w:val="Heading2"/>
        <w:spacing w:after="160" w:before="280"/>
      </w:pPr>
      <w:r>
        <w:rPr>
          <w:rFonts w:ascii="Times New Roman" w:cs="Times New Roman" w:eastAsia="Times New Roman" w:hAnsi="Times New Roman"/>
          <w:b/>
          <w:bCs/>
          <w:sz w:val="24"/>
          <w:szCs w:val="24"/>
        </w:rPr>
        <w:t xml:space="preserve">4.1 Data</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We use hourly OHLCV (Open, High, Low, Close, Volume) data from Binance for four cryptocurrency pairs: BTC/USDT, ETH/USDT, SOL/USDT, and BNB/USDT. The data spans October 2024 to March 2026, comprising approximately 10,000 hourly observations per asset.</w:t>
      </w:r>
    </w:p>
    <w:p>
      <w:pPr>
        <w:pStyle w:val="Heading2"/>
        <w:spacing w:after="160" w:before="280"/>
      </w:pPr>
      <w:r>
        <w:rPr>
          <w:rFonts w:ascii="Times New Roman" w:cs="Times New Roman" w:eastAsia="Times New Roman" w:hAnsi="Times New Roman"/>
          <w:b/>
          <w:bCs/>
          <w:sz w:val="24"/>
          <w:szCs w:val="24"/>
        </w:rPr>
        <w:t xml:space="preserve">4.2 Market Regime Classification</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We divide the sample into five periods based on ex-post price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Period</w:t>
            </w:r>
          </w:p>
        </w:tc>
        <w:tc>
          <w:tcPr>
            <w:tcW w:type="dxa" w:w="28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Dates</w:t>
            </w:r>
          </w:p>
        </w:tc>
        <w:tc>
          <w:tcPr>
            <w:tcW w:type="dxa" w:w="476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Characterization</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bCs/>
                <w:i w:val="false"/>
                <w:iCs w:val="false"/>
                <w:sz w:val="18"/>
                <w:szCs w:val="18"/>
              </w:rPr>
              <w:t xml:space="preserve">Bull</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sz w:val="18"/>
                <w:szCs w:val="18"/>
              </w:rPr>
              <w:t xml:space="preserve">Oct 2024 - Jan 2025</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sz w:val="18"/>
                <w:szCs w:val="18"/>
              </w:rPr>
              <w:t xml:space="preserve">Strong uptrend across all assets (+31% to +65% B&amp;H)</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left"/>
            </w:pPr>
            <w:r>
              <w:rPr>
                <w:rFonts w:ascii="Times New Roman" w:cs="Times New Roman" w:eastAsia="Times New Roman" w:hAnsi="Times New Roman"/>
                <w:b/>
                <w:bCs/>
                <w:i w:val="false"/>
                <w:iCs w:val="false"/>
                <w:sz w:val="18"/>
                <w:szCs w:val="18"/>
              </w:rPr>
              <w:t xml:space="preserve">Sideways</w:t>
            </w:r>
          </w:p>
        </w:tc>
        <w:tc>
          <w:tcPr>
            <w:tcW w:type="dxa" w:w="2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sz w:val="18"/>
                <w:szCs w:val="18"/>
              </w:rPr>
              <w:t xml:space="preserve">Jan 2025 - Apr 2025</w:t>
            </w:r>
          </w:p>
        </w:tc>
        <w:tc>
          <w:tcPr>
            <w:tcW w:type="dxa" w:w="476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sz w:val="18"/>
                <w:szCs w:val="18"/>
              </w:rPr>
              <w:t xml:space="preserve">Mixed: BTC/BNB mild decline, ETH/SOL severe decline (-18% to -53%)</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bCs/>
                <w:i w:val="false"/>
                <w:iCs w:val="false"/>
                <w:sz w:val="18"/>
                <w:szCs w:val="18"/>
              </w:rPr>
              <w:t xml:space="preserve">Volatile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sz w:val="18"/>
                <w:szCs w:val="18"/>
              </w:rPr>
              <w:t xml:space="preserve">Apr 2025 - Jul 2025</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sz w:val="18"/>
                <w:szCs w:val="18"/>
              </w:rPr>
              <w:t xml:space="preserve">High volatility with net positive trend (+18% to +96% B&amp;H)</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left"/>
            </w:pPr>
            <w:r>
              <w:rPr>
                <w:rFonts w:ascii="Times New Roman" w:cs="Times New Roman" w:eastAsia="Times New Roman" w:hAnsi="Times New Roman"/>
                <w:b/>
                <w:bCs/>
                <w:i w:val="false"/>
                <w:iCs w:val="false"/>
                <w:sz w:val="18"/>
                <w:szCs w:val="18"/>
              </w:rPr>
              <w:t xml:space="preserve">Recovery</w:t>
            </w:r>
          </w:p>
        </w:tc>
        <w:tc>
          <w:tcPr>
            <w:tcW w:type="dxa" w:w="2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sz w:val="18"/>
                <w:szCs w:val="18"/>
              </w:rPr>
              <w:t xml:space="preserve">Jul 2025 - Oct 2025</w:t>
            </w:r>
          </w:p>
        </w:tc>
        <w:tc>
          <w:tcPr>
            <w:tcW w:type="dxa" w:w="476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sz w:val="18"/>
                <w:szCs w:val="18"/>
              </w:rPr>
              <w:t xml:space="preserve">Divergent: BNB +61%, ETH +16%, BTC/SOL moderate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bCs/>
                <w:i w:val="false"/>
                <w:iCs w:val="false"/>
                <w:sz w:val="18"/>
                <w:szCs w:val="18"/>
              </w:rPr>
              <w:t xml:space="preserve">Bear</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sz w:val="18"/>
                <w:szCs w:val="18"/>
              </w:rPr>
              <w:t xml:space="preserve">Dec 2025 - Mar 2026</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sz w:val="18"/>
                <w:szCs w:val="18"/>
              </w:rPr>
              <w:t xml:space="preserve">Broad decline across all assets (-20% to -28% B&amp;H)</w:t>
            </w:r>
          </w:p>
        </w:tc>
      </w:tr>
    </w:tbl>
    <w:p>
      <w:pPr>
        <w:pStyle w:val="Heading2"/>
        <w:spacing w:after="160" w:before="280"/>
      </w:pPr>
      <w:r>
        <w:rPr>
          <w:rFonts w:ascii="Times New Roman" w:cs="Times New Roman" w:eastAsia="Times New Roman" w:hAnsi="Times New Roman"/>
          <w:b/>
          <w:bCs/>
          <w:sz w:val="24"/>
          <w:szCs w:val="24"/>
        </w:rPr>
        <w:t xml:space="preserve">4.3 Performance Metrics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We evaluate strategies using: cumulative return (%), alpha versus buy-and-hold, win rate, maximum drawdown, annualized Sharpe ratio, and Sortino ratio. Statistical significance is assessed via one-sample t-tests on alpha and paired t-tests for cross-version comparisons.</w:t>
      </w:r>
    </w:p>
    <w:p>
      <w:pPr>
        <w:pStyle w:val="Heading2"/>
        <w:spacing w:after="160" w:before="280"/>
      </w:pPr>
      <w:r>
        <w:rPr>
          <w:rFonts w:ascii="Times New Roman" w:cs="Times New Roman" w:eastAsia="Times New Roman" w:hAnsi="Times New Roman"/>
          <w:b/>
          <w:bCs/>
          <w:sz w:val="24"/>
          <w:szCs w:val="24"/>
        </w:rPr>
        <w:t xml:space="preserve">4.4 Transaction Costs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All simulations incorporate a 0.1% transaction fee per trade (Binance spot trading fee). Slippage and market impact are not modeled, which represents a limitation for strategies with larger position sizes.</w:t>
      </w:r>
    </w:p>
    <w:p>
      <w:r>
        <w:br w:type="page"/>
      </w:r>
    </w:p>
    <w:p>
      <w:pPr>
        <w:pStyle w:val="Heading1"/>
        <w:spacing w:after="200" w:before="360"/>
      </w:pPr>
      <w:r>
        <w:rPr>
          <w:rFonts w:ascii="Times New Roman" w:cs="Times New Roman" w:eastAsia="Times New Roman" w:hAnsi="Times New Roman"/>
          <w:b/>
          <w:bCs/>
          <w:sz w:val="28"/>
          <w:szCs w:val="28"/>
        </w:rPr>
        <w:t xml:space="preserve">5. Results</w:t>
      </w:r>
    </w:p>
    <w:p>
      <w:pPr>
        <w:pStyle w:val="Heading2"/>
        <w:spacing w:after="160" w:before="280"/>
      </w:pPr>
      <w:r>
        <w:rPr>
          <w:rFonts w:ascii="Times New Roman" w:cs="Times New Roman" w:eastAsia="Times New Roman" w:hAnsi="Times New Roman"/>
          <w:b/>
          <w:bCs/>
          <w:sz w:val="24"/>
          <w:szCs w:val="24"/>
        </w:rPr>
        <w:t xml:space="preserve">5.1 Aggregate Performance</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Table 1 presents aggregate results across all 20 experimental conditions (4 assets x 5 periods).</w:t>
      </w:r>
    </w:p>
    <w:p>
      <w:pPr>
        <w:spacing w:after="120" w:line="360"/>
        <w:jc w:val="center"/>
      </w:pPr>
      <w:r>
        <w:rPr>
          <w:rFonts w:ascii="Times New Roman" w:cs="Times New Roman" w:eastAsia="Times New Roman" w:hAnsi="Times New Roman"/>
          <w:b/>
          <w:bCs/>
          <w:i w:val="false"/>
          <w:iCs w:val="false"/>
          <w:sz w:val="22"/>
          <w:szCs w:val="22"/>
        </w:rPr>
        <w:t xml:space="preserve">Table 1. Aggregate Performance (n = 20 experiments per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300"/>
        <w:gridCol w:w="1300"/>
        <w:gridCol w:w="1260"/>
      </w:tblGrid>
      <w:tr>
        <w:tc>
          <w:tcPr>
            <w:tcW w:type="dxa" w:w="15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
            </w:r>
          </w:p>
        </w:tc>
        <w:tc>
          <w:tcPr>
            <w:tcW w:type="dxa" w:w="13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V1</w:t>
            </w:r>
          </w:p>
        </w:tc>
        <w:tc>
          <w:tcPr>
            <w:tcW w:type="dxa" w:w="13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V2</w:t>
            </w:r>
          </w:p>
        </w:tc>
        <w:tc>
          <w:tcPr>
            <w:tcW w:type="dxa" w:w="13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V3</w:t>
            </w:r>
          </w:p>
        </w:tc>
        <w:tc>
          <w:tcPr>
            <w:tcW w:type="dxa" w:w="13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B&amp;H</w:t>
            </w:r>
          </w:p>
        </w:tc>
        <w:tc>
          <w:tcPr>
            <w:tcW w:type="dxa" w:w="13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V1-V3 diff</w:t>
            </w:r>
          </w:p>
        </w:tc>
        <w:tc>
          <w:tcPr>
            <w:tcW w:type="dxa" w:w="126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p-value</w:t>
            </w:r>
          </w:p>
        </w:tc>
      </w:tr>
      <w:tr>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bCs/>
                <w:i w:val="false"/>
                <w:iCs w:val="false"/>
                <w:sz w:val="18"/>
                <w:szCs w:val="18"/>
              </w:rPr>
              <w:t xml:space="preserve">Mean Return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-2.35%</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-2.41%</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-1.54%</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+10.76%</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+0.80%</w:t>
            </w:r>
          </w:p>
        </w:tc>
        <w:tc>
          <w:tcPr>
            <w:tcW w:type="dxa" w:w="126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0.19</w:t>
            </w:r>
          </w:p>
        </w:tc>
      </w:tr>
      <w:tr>
        <w:tc>
          <w:tcPr>
            <w:tcW w:type="dxa" w:w="15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left"/>
            </w:pPr>
            <w:r>
              <w:rPr>
                <w:rFonts w:ascii="Times New Roman" w:cs="Times New Roman" w:eastAsia="Times New Roman" w:hAnsi="Times New Roman"/>
                <w:b/>
                <w:bCs/>
                <w:i w:val="false"/>
                <w:iCs w:val="false"/>
                <w:sz w:val="18"/>
                <w:szCs w:val="18"/>
              </w:rPr>
              <w:t xml:space="preserve">Win Rate</w:t>
            </w:r>
          </w:p>
        </w:tc>
        <w:tc>
          <w:tcPr>
            <w:tcW w:type="dxa" w:w="13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38.6%</w:t>
            </w:r>
          </w:p>
        </w:tc>
        <w:tc>
          <w:tcPr>
            <w:tcW w:type="dxa" w:w="13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46.9%</w:t>
            </w:r>
          </w:p>
        </w:tc>
        <w:tc>
          <w:tcPr>
            <w:tcW w:type="dxa" w:w="13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52.1%</w:t>
            </w:r>
          </w:p>
        </w:tc>
        <w:tc>
          <w:tcPr>
            <w:tcW w:type="dxa" w:w="13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+13.5%</w:t>
            </w:r>
          </w:p>
        </w:tc>
        <w:tc>
          <w:tcPr>
            <w:tcW w:type="dxa" w:w="126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bCs/>
                <w:i w:val="false"/>
                <w:iCs w:val="false"/>
                <w:sz w:val="18"/>
                <w:szCs w:val="18"/>
              </w:rPr>
              <w:t xml:space="preserve">Max Drawdown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3.9%</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4.6%</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4.9%</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40%+</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w:t>
            </w:r>
          </w:p>
        </w:tc>
      </w:tr>
      <w:tr>
        <w:tc>
          <w:tcPr>
            <w:tcW w:type="dxa" w:w="15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left"/>
            </w:pPr>
            <w:r>
              <w:rPr>
                <w:rFonts w:ascii="Times New Roman" w:cs="Times New Roman" w:eastAsia="Times New Roman" w:hAnsi="Times New Roman"/>
                <w:b/>
                <w:bCs/>
                <w:i w:val="false"/>
                <w:iCs w:val="false"/>
                <w:sz w:val="18"/>
                <w:szCs w:val="18"/>
              </w:rPr>
              <w:t xml:space="preserve">Sharpe Ratio</w:t>
            </w:r>
          </w:p>
        </w:tc>
        <w:tc>
          <w:tcPr>
            <w:tcW w:type="dxa" w:w="13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-2.65</w:t>
            </w:r>
          </w:p>
        </w:tc>
        <w:tc>
          <w:tcPr>
            <w:tcW w:type="dxa" w:w="13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-1.79</w:t>
            </w:r>
          </w:p>
        </w:tc>
        <w:tc>
          <w:tcPr>
            <w:tcW w:type="dxa" w:w="13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-1.06</w:t>
            </w:r>
          </w:p>
        </w:tc>
        <w:tc>
          <w:tcPr>
            <w:tcW w:type="dxa" w:w="13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+1.59</w:t>
            </w:r>
          </w:p>
        </w:tc>
        <w:tc>
          <w:tcPr>
            <w:tcW w:type="dxa" w:w="126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bCs/>
                <w:i w:val="false"/>
                <w:iCs w:val="false"/>
                <w:sz w:val="18"/>
                <w:szCs w:val="18"/>
              </w:rPr>
              <w:t xml:space="preserve">Sortino Ratio</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-3.51</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-2.01</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-1.02</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+2.49</w:t>
            </w:r>
          </w:p>
        </w:tc>
        <w:tc>
          <w:tcPr>
            <w:tcW w:type="dxa" w:w="126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w:t>
            </w:r>
          </w:p>
        </w:tc>
      </w:tr>
    </w:tbl>
    <w:p>
      <w:pPr>
        <w:spacing w:after="120" w:line="360"/>
        <w:jc w:val="both"/>
      </w:pPr>
      <w:r>
        <w:rPr>
          <w:rFonts w:ascii="Times New Roman" w:cs="Times New Roman" w:eastAsia="Times New Roman" w:hAnsi="Times New Roman"/>
          <w:b w:val="false"/>
          <w:bCs w:val="false"/>
          <w:i w:val="false"/>
          <w:iCs w:val="false"/>
          <w:sz w:val="22"/>
          <w:szCs w:val="22"/>
        </w:rPr>
        <w:t xml:space="preserve"/>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The paired t-test comparing V1 and V3 returns yields t = 1.35, p = 0.19, with Cohen's d = 0.30. While the improvement is not statistically significant at conventional levels, the consistent directional improvement across multiple metrics suggests a real but modest effect that would require a larger sample to confirm.</w:t>
      </w:r>
    </w:p>
    <w:p>
      <w:pPr>
        <w:pStyle w:val="Heading2"/>
        <w:spacing w:after="160" w:before="280"/>
      </w:pPr>
      <w:r>
        <w:rPr>
          <w:rFonts w:ascii="Times New Roman" w:cs="Times New Roman" w:eastAsia="Times New Roman" w:hAnsi="Times New Roman"/>
          <w:b/>
          <w:bCs/>
          <w:sz w:val="24"/>
          <w:szCs w:val="24"/>
        </w:rPr>
        <w:t xml:space="preserve">5.2 Per-Asset Results</w:t>
      </w:r>
    </w:p>
    <w:p>
      <w:pPr>
        <w:spacing w:after="120" w:line="360"/>
        <w:jc w:val="center"/>
      </w:pPr>
      <w:r>
        <w:rPr>
          <w:rFonts w:ascii="Times New Roman" w:cs="Times New Roman" w:eastAsia="Times New Roman" w:hAnsi="Times New Roman"/>
          <w:b/>
          <w:bCs/>
          <w:i w:val="false"/>
          <w:iCs w:val="false"/>
          <w:sz w:val="22"/>
          <w:szCs w:val="22"/>
        </w:rPr>
        <w:t xml:space="preserve">Table 2. Per-Asset Summary (V1 vs V3 vs Buy-and-Hold, 5-period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100"/>
        <w:gridCol w:w="1100"/>
        <w:gridCol w:w="1100"/>
        <w:gridCol w:w="1100"/>
        <w:gridCol w:w="1100"/>
        <w:gridCol w:w="1160"/>
      </w:tblGrid>
      <w:tr>
        <w:tc>
          <w:tcPr>
            <w:tcW w:type="dxa" w:w="16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Asset</w:t>
            </w:r>
          </w:p>
        </w:tc>
        <w:tc>
          <w:tcPr>
            <w:tcW w:type="dxa" w:w="11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V1</w:t>
            </w:r>
          </w:p>
        </w:tc>
        <w:tc>
          <w:tcPr>
            <w:tcW w:type="dxa" w:w="11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V3</w:t>
            </w:r>
          </w:p>
        </w:tc>
        <w:tc>
          <w:tcPr>
            <w:tcW w:type="dxa" w:w="11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B&amp;H</w:t>
            </w:r>
          </w:p>
        </w:tc>
        <w:tc>
          <w:tcPr>
            <w:tcW w:type="dxa" w:w="11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V3 Sharpe</w:t>
            </w:r>
          </w:p>
        </w:tc>
        <w:tc>
          <w:tcPr>
            <w:tcW w:type="dxa" w:w="11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V3 MaxDD</w:t>
            </w:r>
          </w:p>
        </w:tc>
        <w:tc>
          <w:tcPr>
            <w:tcW w:type="dxa" w:w="11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B&amp;H MaxDD</w:t>
            </w:r>
          </w:p>
        </w:tc>
        <w:tc>
          <w:tcPr>
            <w:tcW w:type="dxa" w:w="116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V3 WR</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bCs/>
                <w:i w:val="false"/>
                <w:iCs w:val="false"/>
                <w:sz w:val="18"/>
                <w:szCs w:val="18"/>
              </w:rPr>
              <w:t xml:space="preserve">BTC/USDT</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-3.4%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-2.6%</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+12.0%</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-2.27</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7.2%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65%</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48%</w:t>
            </w:r>
          </w:p>
        </w:tc>
      </w:tr>
      <w:tr>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left"/>
            </w:pPr>
            <w:r>
              <w:rPr>
                <w:rFonts w:ascii="Times New Roman" w:cs="Times New Roman" w:eastAsia="Times New Roman" w:hAnsi="Times New Roman"/>
                <w:b/>
                <w:bCs/>
                <w:i w:val="false"/>
                <w:iCs w:val="false"/>
                <w:sz w:val="18"/>
                <w:szCs w:val="18"/>
              </w:rPr>
              <w:t xml:space="preserve">ETH/USDT</w:t>
            </w:r>
          </w:p>
        </w:tc>
        <w:tc>
          <w:tcPr>
            <w:tcW w:type="dxa" w:w="11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-1.9%</w:t>
            </w:r>
          </w:p>
        </w:tc>
        <w:tc>
          <w:tcPr>
            <w:tcW w:type="dxa" w:w="11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-1.8%</w:t>
            </w:r>
          </w:p>
        </w:tc>
        <w:tc>
          <w:tcPr>
            <w:tcW w:type="dxa" w:w="11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+15.3%</w:t>
            </w:r>
          </w:p>
        </w:tc>
        <w:tc>
          <w:tcPr>
            <w:tcW w:type="dxa" w:w="11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-0.72</w:t>
            </w:r>
          </w:p>
        </w:tc>
        <w:tc>
          <w:tcPr>
            <w:tcW w:type="dxa" w:w="11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8.2%</w:t>
            </w:r>
          </w:p>
        </w:tc>
        <w:tc>
          <w:tcPr>
            <w:tcW w:type="dxa" w:w="11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53%</w:t>
            </w:r>
          </w:p>
        </w:tc>
        <w:tc>
          <w:tcPr>
            <w:tcW w:type="dxa" w:w="116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53%</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bCs/>
                <w:i w:val="false"/>
                <w:iCs w:val="false"/>
                <w:sz w:val="18"/>
                <w:szCs w:val="18"/>
              </w:rPr>
              <w:t xml:space="preserve">SOL/USDT</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-1.6%</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+0.3%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+2.3%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+0.14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11.0%</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47%</w:t>
            </w:r>
          </w:p>
        </w:tc>
        <w:tc>
          <w:tcPr>
            <w:tcW w:type="dxa" w:w="116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56%</w:t>
            </w:r>
          </w:p>
        </w:tc>
      </w:tr>
      <w:tr>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left"/>
            </w:pPr>
            <w:r>
              <w:rPr>
                <w:rFonts w:ascii="Times New Roman" w:cs="Times New Roman" w:eastAsia="Times New Roman" w:hAnsi="Times New Roman"/>
                <w:b/>
                <w:bCs/>
                <w:i w:val="false"/>
                <w:iCs w:val="false"/>
                <w:sz w:val="18"/>
                <w:szCs w:val="18"/>
              </w:rPr>
              <w:t xml:space="preserve">BNB/USDT</w:t>
            </w:r>
          </w:p>
        </w:tc>
        <w:tc>
          <w:tcPr>
            <w:tcW w:type="dxa" w:w="11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-2.5%</w:t>
            </w:r>
          </w:p>
        </w:tc>
        <w:tc>
          <w:tcPr>
            <w:tcW w:type="dxa" w:w="11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-2.1%</w:t>
            </w:r>
          </w:p>
        </w:tc>
        <w:tc>
          <w:tcPr>
            <w:tcW w:type="dxa" w:w="11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+13.4%</w:t>
            </w:r>
          </w:p>
        </w:tc>
        <w:tc>
          <w:tcPr>
            <w:tcW w:type="dxa" w:w="11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-1.39</w:t>
            </w:r>
          </w:p>
        </w:tc>
        <w:tc>
          <w:tcPr>
            <w:tcW w:type="dxa" w:w="11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8.6%</w:t>
            </w:r>
          </w:p>
        </w:tc>
        <w:tc>
          <w:tcPr>
            <w:tcW w:type="dxa" w:w="11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61%</w:t>
            </w:r>
          </w:p>
        </w:tc>
        <w:tc>
          <w:tcPr>
            <w:tcW w:type="dxa" w:w="116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51%</w:t>
            </w:r>
          </w:p>
        </w:tc>
      </w:tr>
    </w:tbl>
    <w:p>
      <w:pPr>
        <w:spacing w:after="120" w:line="360"/>
        <w:jc w:val="both"/>
      </w:pPr>
      <w:r>
        <w:rPr>
          <w:rFonts w:ascii="Times New Roman" w:cs="Times New Roman" w:eastAsia="Times New Roman" w:hAnsi="Times New Roman"/>
          <w:b w:val="false"/>
          <w:bCs w:val="false"/>
          <w:i w:val="false"/>
          <w:iCs w:val="false"/>
          <w:sz w:val="22"/>
          <w:szCs w:val="22"/>
        </w:rPr>
        <w:t xml:space="preserve"/>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SOL/USDT is the only asset where V3 achieves a positive average return (+0.3%) with a positive Sharpe ratio (0.14), suggesting that the strategy may have differential effectiveness across assets with varying microstructure characteristics.</w:t>
      </w:r>
    </w:p>
    <w:p>
      <w:pPr>
        <w:pStyle w:val="Heading2"/>
        <w:spacing w:after="160" w:before="280"/>
      </w:pPr>
      <w:r>
        <w:rPr>
          <w:rFonts w:ascii="Times New Roman" w:cs="Times New Roman" w:eastAsia="Times New Roman" w:hAnsi="Times New Roman"/>
          <w:b/>
          <w:bCs/>
          <w:sz w:val="24"/>
          <w:szCs w:val="24"/>
        </w:rPr>
        <w:t xml:space="preserve">5.3 The Golden Zone Phenomenon</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Our most notable empirical finding emerges from the analysis of 475 individual trades, segmented by trend-strength score at exit:</w:t>
      </w:r>
    </w:p>
    <w:p>
      <w:pPr>
        <w:spacing w:after="120" w:line="360"/>
        <w:jc w:val="center"/>
      </w:pPr>
      <w:r>
        <w:rPr>
          <w:rFonts w:ascii="Times New Roman" w:cs="Times New Roman" w:eastAsia="Times New Roman" w:hAnsi="Times New Roman"/>
          <w:b/>
          <w:bCs/>
          <w:i w:val="false"/>
          <w:iCs w:val="false"/>
          <w:sz w:val="22"/>
          <w:szCs w:val="22"/>
        </w:rPr>
        <w:t xml:space="preserve">Table 3. Win Rate and Profitability by Trend-Strength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360"/>
      </w:tblGrid>
      <w:tr>
        <w:tc>
          <w:tcPr>
            <w:tcW w:type="dxa" w:w="20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Score Range</w:t>
            </w:r>
          </w:p>
        </w:tc>
        <w:tc>
          <w:tcPr>
            <w:tcW w:type="dxa" w:w="15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Trades</w:t>
            </w:r>
          </w:p>
        </w:tc>
        <w:tc>
          <w:tcPr>
            <w:tcW w:type="dxa" w:w="15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Win Rate</w:t>
            </w:r>
          </w:p>
        </w:tc>
        <w:tc>
          <w:tcPr>
            <w:tcW w:type="dxa" w:w="15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Avg PnL</w:t>
            </w:r>
          </w:p>
        </w:tc>
        <w:tc>
          <w:tcPr>
            <w:tcW w:type="dxa" w:w="150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Total PnL</w:t>
            </w:r>
          </w:p>
        </w:tc>
        <w:tc>
          <w:tcPr>
            <w:tcW w:type="dxa" w:w="1360"/>
            <w:tcBorders>
              <w:top w:val="single" w:color="CCCCCC" w:sz="1"/>
              <w:left w:val="single" w:color="CCCCCC" w:sz="1"/>
              <w:bottom w:val="single" w:color="CCCCCC" w:sz="1"/>
              <w:right w:val="single" w:color="CCCCCC" w:sz="1"/>
            </w:tcBorders>
            <w:shd w:fill="2E4057" w:val="clear"/>
            <w:tcMar>
              <w:top w:type="dxa" w:w="50"/>
              <w:left w:type="dxa" w:w="80"/>
              <w:bottom w:type="dxa" w:w="50"/>
              <w:right w:type="dxa" w:w="80"/>
            </w:tcMar>
          </w:tcPr>
          <w:p>
            <w:pPr>
              <w:jc w:val="center"/>
            </w:pPr>
            <w:r>
              <w:rPr>
                <w:rFonts w:ascii="Times New Roman" w:cs="Times New Roman" w:eastAsia="Times New Roman" w:hAnsi="Times New Roman"/>
                <w:b/>
                <w:bCs/>
                <w:color w:val="FFFFFF"/>
                <w:sz w:val="18"/>
                <w:szCs w:val="18"/>
              </w:rPr>
              <w:t xml:space="preserve">Zone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sz w:val="18"/>
                <w:szCs w:val="18"/>
              </w:rPr>
              <w:t xml:space="preserve">0-30 (Low)</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355</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44.2%</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+0.2%</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+$86.81</w:t>
            </w:r>
          </w:p>
        </w:tc>
        <w:tc>
          <w:tcPr>
            <w:tcW w:type="dxa" w:w="136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Range</w:t>
            </w:r>
          </w:p>
        </w:tc>
      </w:tr>
      <w:tr>
        <w:tc>
          <w:tcPr>
            <w:tcW w:type="dxa" w:w="20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left"/>
            </w:pPr>
            <w:r>
              <w:rPr>
                <w:rFonts w:ascii="Times New Roman" w:cs="Times New Roman" w:eastAsia="Times New Roman" w:hAnsi="Times New Roman"/>
                <w:b/>
                <w:bCs/>
                <w:i w:val="false"/>
                <w:iCs w:val="false"/>
                <w:sz w:val="18"/>
                <w:szCs w:val="18"/>
              </w:rPr>
              <w:t xml:space="preserve">30-50 (Medium)</w:t>
            </w:r>
          </w:p>
        </w:tc>
        <w:tc>
          <w:tcPr>
            <w:tcW w:type="dxa" w:w="15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95</w:t>
            </w:r>
          </w:p>
        </w:tc>
        <w:tc>
          <w:tcPr>
            <w:tcW w:type="dxa" w:w="15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63.2%</w:t>
            </w:r>
          </w:p>
        </w:tc>
        <w:tc>
          <w:tcPr>
            <w:tcW w:type="dxa" w:w="15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+1.0%</w:t>
            </w:r>
          </w:p>
        </w:tc>
        <w:tc>
          <w:tcPr>
            <w:tcW w:type="dxa" w:w="15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+$72.68</w:t>
            </w:r>
          </w:p>
        </w:tc>
        <w:tc>
          <w:tcPr>
            <w:tcW w:type="dxa" w:w="136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Golden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sz w:val="18"/>
                <w:szCs w:val="18"/>
              </w:rPr>
              <w:t xml:space="preserve">50-70 (High)</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11</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0.0%</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-3.5%</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-$29.68</w:t>
            </w:r>
          </w:p>
        </w:tc>
        <w:tc>
          <w:tcPr>
            <w:tcW w:type="dxa" w:w="136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Danger</w:t>
            </w:r>
          </w:p>
        </w:tc>
      </w:tr>
      <w:tr>
        <w:tc>
          <w:tcPr>
            <w:tcW w:type="dxa" w:w="20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sz w:val="18"/>
                <w:szCs w:val="18"/>
              </w:rPr>
              <w:t xml:space="preserve">70+ (Very High)</w:t>
            </w:r>
          </w:p>
        </w:tc>
        <w:tc>
          <w:tcPr>
            <w:tcW w:type="dxa" w:w="15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14</w:t>
            </w:r>
          </w:p>
        </w:tc>
        <w:tc>
          <w:tcPr>
            <w:tcW w:type="dxa" w:w="15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0.0%</w:t>
            </w:r>
          </w:p>
        </w:tc>
        <w:tc>
          <w:tcPr>
            <w:tcW w:type="dxa" w:w="15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-7.1%</w:t>
            </w:r>
          </w:p>
        </w:tc>
        <w:tc>
          <w:tcPr>
            <w:tcW w:type="dxa" w:w="15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-$111.03</w:t>
            </w:r>
          </w:p>
        </w:tc>
        <w:tc>
          <w:tcPr>
            <w:tcW w:type="dxa" w:w="136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sz w:val="18"/>
                <w:szCs w:val="18"/>
              </w:rPr>
              <w:t xml:space="preserve">Danger</w:t>
            </w:r>
          </w:p>
        </w:tc>
      </w:tr>
    </w:tbl>
    <w:p>
      <w:pPr>
        <w:spacing w:after="120" w:line="360"/>
        <w:jc w:val="both"/>
      </w:pPr>
      <w:r>
        <w:rPr>
          <w:rFonts w:ascii="Times New Roman" w:cs="Times New Roman" w:eastAsia="Times New Roman" w:hAnsi="Times New Roman"/>
          <w:b w:val="false"/>
          <w:bCs w:val="false"/>
          <w:i w:val="false"/>
          <w:iCs w:val="false"/>
          <w:sz w:val="22"/>
          <w:szCs w:val="22"/>
        </w:rPr>
        <w:t xml:space="preserve"/>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The discontinuity at the 50-point threshold is striking: trades entered when trend scores are moderate (30-50) achieve a 63.2% win rate and positive returns, while trades entered at high scores (50+) achieve a 0% win rate across 25 observations. This is consistent with the hypothesis that high trend-strength scores represent crowded trades where algorithmic consensus has already been priced in, leaving no residual edge.</w:t>
      </w:r>
    </w:p>
    <w:p>
      <w:pPr>
        <w:pStyle w:val="Heading2"/>
        <w:spacing w:after="160" w:before="280"/>
      </w:pPr>
      <w:r>
        <w:rPr>
          <w:rFonts w:ascii="Times New Roman" w:cs="Times New Roman" w:eastAsia="Times New Roman" w:hAnsi="Times New Roman"/>
          <w:b/>
          <w:bCs/>
          <w:sz w:val="24"/>
          <w:szCs w:val="24"/>
        </w:rPr>
        <w:t xml:space="preserve">5.4 Sentiment as a Signal Modifier</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The Fear and Greed Index contributed to trading decisions on 61.8% of trading days during the 90-day analysis window. On 55 days, the index enabled buy signals that RSI alone would not have generated, confirming its value as a complementary indicator that captures crowd psychology beyond what price-based oscillators detect.</w:t>
      </w:r>
    </w:p>
    <w:p>
      <w:pPr>
        <w:pStyle w:val="Heading2"/>
        <w:spacing w:after="160" w:before="280"/>
      </w:pPr>
      <w:r>
        <w:rPr>
          <w:rFonts w:ascii="Times New Roman" w:cs="Times New Roman" w:eastAsia="Times New Roman" w:hAnsi="Times New Roman"/>
          <w:b/>
          <w:bCs/>
          <w:sz w:val="24"/>
          <w:szCs w:val="24"/>
        </w:rPr>
        <w:t xml:space="preserve">5.5 Risk Management Value</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While the algorithm fails to generate positive alpha, it demonstrates clear value in risk management. The maximum drawdown of V3 averages 4.9% across all conditions, compared to buy-and-hold drawdowns exceeding 40%. In the bear market period specifically, V3 limits losses to -4.3% (ETH) while buy-and-hold suffers -27.9%. This tail-risk reduction represents measurable economic value, equivalent to a form of portfolio insurance.</w:t>
      </w:r>
    </w:p>
    <w:p>
      <w:r>
        <w:br w:type="page"/>
      </w:r>
    </w:p>
    <w:p>
      <w:pPr>
        <w:pStyle w:val="Heading1"/>
        <w:spacing w:after="200" w:before="360"/>
      </w:pPr>
      <w:r>
        <w:rPr>
          <w:rFonts w:ascii="Times New Roman" w:cs="Times New Roman" w:eastAsia="Times New Roman" w:hAnsi="Times New Roman"/>
          <w:b/>
          <w:bCs/>
          <w:sz w:val="28"/>
          <w:szCs w:val="28"/>
        </w:rPr>
        <w:t xml:space="preserve">6. Discussion</w:t>
      </w:r>
    </w:p>
    <w:p>
      <w:pPr>
        <w:pStyle w:val="Heading2"/>
        <w:spacing w:after="160" w:before="280"/>
      </w:pPr>
      <w:r>
        <w:rPr>
          <w:rFonts w:ascii="Times New Roman" w:cs="Times New Roman" w:eastAsia="Times New Roman" w:hAnsi="Times New Roman"/>
          <w:b/>
          <w:bCs/>
          <w:sz w:val="24"/>
          <w:szCs w:val="24"/>
        </w:rPr>
        <w:t xml:space="preserve">6.1 Why the Algorithm Cannot Beat Buy-and-Hold</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Three structural factors explain the algorithm's inability to generate consistent positive alpha:</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First, position sizing conservatism. The V3 strategy allocates 15% of capital per trade (45% in Golden Zone). While this limits drawdowns, it also caps upside participation. During the bull period, buy-and-hold captures the full +46% ETH move, while V3 captures only a fraction through intermittent 15-45% exposure.</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Second, signal decay through adoption. The technical indicators used (RSI, MACD, Bollinger Bands) are among the most widely deployed in cryptocurrency markets. Per the AMH, their predictive power has likely diminished as adoption increased. Our Golden Zone finding directly evidences this: at trend scores above 50, where algorithmic consensus is strongest, the signal value collapses entirely.</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Third, the 14-month sample includes three bullish periods out of five. In environments where the underlying asset trends upward, any strategy that reduces exposure (through position sizing or exit rules) will mechanically underperform full-exposure buy-and-hold.</w:t>
      </w:r>
    </w:p>
    <w:p>
      <w:pPr>
        <w:pStyle w:val="Heading2"/>
        <w:spacing w:after="160" w:before="280"/>
      </w:pPr>
      <w:r>
        <w:rPr>
          <w:rFonts w:ascii="Times New Roman" w:cs="Times New Roman" w:eastAsia="Times New Roman" w:hAnsi="Times New Roman"/>
          <w:b/>
          <w:bCs/>
          <w:sz w:val="24"/>
          <w:szCs w:val="24"/>
        </w:rPr>
        <w:t xml:space="preserve">6.2 The Golden Zone as Evidence of Reflexivity</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The Golden Zone phenomenon provides empirical support for Soros's reflexivity mechanism operating in real time. At moderate trend scores (30-50), a trend is forming but has not yet attracted the full attention of algorithmic participants. Early entrants enjoy genuine informational edge. As the trend strengthens and scores rise above 50, more algorithms activate buy signals, creating a self-fulfilling rally that attracts further buying. However, this very process depletes the pool of marginal buyers. When the last algorithmic buyer has entered, there is no one left to push prices higher, and the trend reverses, trapping the crowd.</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This mechanism is consistent with Kyle (1985) informed-trader framework, where the informed trader's profit is proportional to the noise traders' participation. When all traders become "informed" (by following the same trend signals), the distinction between informed and noise traders collapses, and no one can profit.</w:t>
      </w:r>
    </w:p>
    <w:p>
      <w:pPr>
        <w:pStyle w:val="Heading2"/>
        <w:spacing w:after="160" w:before="280"/>
      </w:pPr>
      <w:r>
        <w:rPr>
          <w:rFonts w:ascii="Times New Roman" w:cs="Times New Roman" w:eastAsia="Times New Roman" w:hAnsi="Times New Roman"/>
          <w:b/>
          <w:bCs/>
          <w:sz w:val="24"/>
          <w:szCs w:val="24"/>
        </w:rPr>
        <w:t xml:space="preserve">6.3 The Optimal Human-AI Solution</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Given that pure algorithmic trading underperforms buy-and-hold in our sample while providing superior risk management, what is the optimal approach for a human investor using AI as a tool?</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Our data suggests a hybrid allocation strategy:</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(1) Core allocation (60-70%): Passive buy-and-hold exposure to the target cryptocurrency. This captures long-term appreciation without the drag of trading costs and signal decay.</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(2) Satellite allocation (30-40%): Algorithmic risk management using the adaptive strategy. This portion actively manages drawdown risk, taking defensive positions during bear markets and reducing exposure during danger-zone conditions.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(3) AI as diagnostic tool: Use the trend-strength score and Smart Money Index not as trade triggers, but as market-state indicators that inform the human investor's allocation decisions. When the Danger Zone is active (score &gt; 55), the human may choose to reduce overall exposure. When the Golden Zone is active (30-50), the human may choose to add to positions.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This hybrid approach leverages the algorithm's demonstrated strength (risk reduction, max drawdown 4.9% vs 40%+) while preserving exposure to the asset's long-term appreciation potential. It reframes AI not as a replacement for human judgment, but as a risk management layer and a lens for understanding market complexity.</w:t>
      </w:r>
    </w:p>
    <w:p>
      <w:pPr>
        <w:pStyle w:val="Heading2"/>
        <w:spacing w:after="160" w:before="280"/>
      </w:pPr>
      <w:r>
        <w:rPr>
          <w:rFonts w:ascii="Times New Roman" w:cs="Times New Roman" w:eastAsia="Times New Roman" w:hAnsi="Times New Roman"/>
          <w:b/>
          <w:bCs/>
          <w:sz w:val="24"/>
          <w:szCs w:val="24"/>
        </w:rPr>
        <w:t xml:space="preserve">6.4 Implications for Complex Adaptive Systems Theory</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Our results contribute to the empirical understanding of CAS dynamics in financial markets in three ways: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First, the Golden Zone phenomenon demonstrates that in a market populated by adaptive agents, the effectiveness of a signal is inversely related to the number of agents acting on it. This is a direct manifestation of the competitive exclusion principle from ecology applied to financial strategies.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Second, the failure of trailing stops (0% win rate across 22 applications) illustrates the lag problem inherent in trend-following indicators. By the time a trailing stop signals a trend reversal, the reversal has already consumed a significant portion of accumulated gains, suggesting that cryptocurrency trends are characterized by sharp rather than gradual reversals.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Third, the Fear and Greed Index's 61.8% contribution rate to trading signals demonstrates that crowd sentiment is a materially distinct information source from price-based indicators, consistent with behavioral finance models that posit two types of market information: price dynamics and investor sentiment (Baker &amp; Wurgler, 2006).</w:t>
      </w:r>
    </w:p>
    <w:p>
      <w:r>
        <w:br w:type="page"/>
      </w:r>
    </w:p>
    <w:p>
      <w:pPr>
        <w:pStyle w:val="Heading1"/>
        <w:spacing w:after="200" w:before="360"/>
      </w:pPr>
      <w:r>
        <w:rPr>
          <w:rFonts w:ascii="Times New Roman" w:cs="Times New Roman" w:eastAsia="Times New Roman" w:hAnsi="Times New Roman"/>
          <w:b/>
          <w:bCs/>
          <w:sz w:val="28"/>
          <w:szCs w:val="28"/>
        </w:rPr>
        <w:t xml:space="preserve">7. Limitations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This study has several limitations that should inform interpretation of results: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Sample size: The 14-month backtesting period across 4 assets provides 20 experimental conditions. While sufficient for directional insights, the paired t-test for V1-V3 improvement yields p = 0.19, indicating insufficient statistical power. A minimum 3-5 year sample would be required for robust inference.</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Backtesting bias: All results are based on historical simulation, not live trading. Overfitting risk is partially mitigated by the out-of-sample nature of the market-period classification (regimes were identified ex-post), but walk-forward validation was not performed.</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Market impact: Slippage and market impact are not modeled. For the position sizes used (15-45% of $10,000), market impact on major pairs (BTC, ETH) is likely negligible, but may be material for lower-liquidity assets (SOL).</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Single strategy family: All three versions share the same indicator base (RSI, MACD, BB). Testing against fundamentally different strategy families (momentum, mean-reversion, machine learning) would strengthen the comparative analysis.</w:t>
      </w:r>
    </w:p>
    <w:p>
      <w:r>
        <w:br w:type="page"/>
      </w:r>
    </w:p>
    <w:p>
      <w:pPr>
        <w:pStyle w:val="Heading1"/>
        <w:spacing w:after="200" w:before="360"/>
      </w:pPr>
      <w:r>
        <w:rPr>
          <w:rFonts w:ascii="Times New Roman" w:cs="Times New Roman" w:eastAsia="Times New Roman" w:hAnsi="Times New Roman"/>
          <w:b/>
          <w:bCs/>
          <w:sz w:val="28"/>
          <w:szCs w:val="28"/>
        </w:rPr>
        <w:t xml:space="preserve">8. Conclusion</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This study set out to determine whether an adaptive algorithmic trading system can reliably profit from cryptocurrency markets. The honest answer, supported by 20 experimental conditions across 4 assets and 14 months, is no -- at least not in the conventional sense of generating consistent positive alpha over buy-and-hold.</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However, the failure itself is informative. The Golden Zone phenomenon (63% win rate at moderate signal strength vs. 0% at high strength) provides direct empirical evidence for the reflexivity mechanism in cryptocurrency markets: trading signals become self-defeating precisely when they achieve consensus. This finding supports the adaptive markets hypothesis over the static efficient markets hypothesis, suggesting that cryptocurrency market efficiency is not a fixed property but a dynamic outcome of strategic competition among participants.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The practical implication for investors is that AI-driven algorithmic systems are most valuable not as autonomous profit generators, but as risk management tools and market diagnostic instruments. A hybrid approach -- combining passive exposure for long-term appreciation with algorithmic risk management for tail-risk reduction -- represents the optimal use of AI in this domain. The algorithm's consistent ability to limit maximum drawdown to under 5% (vs. 40%+ for buy-and-hold) has real economic value, particularly for risk-averse investors.</w:t>
      </w:r>
    </w:p>
    <w:p>
      <w:pPr>
        <w:spacing w:after="120" w:line="360"/>
        <w:ind w:firstLine="480"/>
        <w:jc w:val="both"/>
      </w:pPr>
      <w:r>
        <w:rPr>
          <w:rFonts w:ascii="Times New Roman" w:cs="Times New Roman" w:eastAsia="Times New Roman" w:hAnsi="Times New Roman"/>
          <w:b w:val="false"/>
          <w:bCs w:val="false"/>
          <w:i w:val="false"/>
          <w:iCs w:val="false"/>
          <w:sz w:val="22"/>
          <w:szCs w:val="22"/>
        </w:rPr>
        <w:t xml:space="preserve">For the field of complex adaptive systems, our findings demonstrate that the competitive dynamics theorized by Arthur, Farmer, and Lo manifest clearly in cryptocurrency markets, providing a rich empirical laboratory for studying the interaction between algorithmic agents and emergent market behavior.</w:t>
      </w:r>
    </w:p>
    <w:p>
      <w:r>
        <w:br w:type="page"/>
      </w:r>
    </w:p>
    <w:p>
      <w:pPr>
        <w:pStyle w:val="Heading1"/>
        <w:spacing w:after="200" w:before="360"/>
      </w:pPr>
      <w:r>
        <w:rPr>
          <w:rFonts w:ascii="Times New Roman" w:cs="Times New Roman" w:eastAsia="Times New Roman" w:hAnsi="Times New Roman"/>
          <w:b/>
          <w:bCs/>
          <w:sz w:val="28"/>
          <w:szCs w:val="28"/>
        </w:rPr>
        <w:t xml:space="preserve">References</w:t>
      </w:r>
    </w:p>
    <w:p>
      <w:pPr>
        <w:pStyle w:val="ListParagraph"/>
        <w:numPr>
          <w:ilvl w:val="0"/>
          <w:numId w:val="2"/>
        </w:numPr>
        <w:spacing w:after="80"/>
      </w:pPr>
      <w:r>
        <w:rPr>
          <w:rFonts w:ascii="Times New Roman" w:cs="Times New Roman" w:eastAsia="Times New Roman" w:hAnsi="Times New Roman"/>
          <w:sz w:val="20"/>
          <w:szCs w:val="20"/>
        </w:rPr>
        <w:t xml:space="preserve">Arthur, W. B. (1999). Complexity and the Economy. Science, 284(5411), 107-109.</w:t>
      </w:r>
    </w:p>
    <w:p>
      <w:pPr>
        <w:pStyle w:val="ListParagraph"/>
        <w:numPr>
          <w:ilvl w:val="0"/>
          <w:numId w:val="2"/>
        </w:numPr>
        <w:spacing w:after="80"/>
      </w:pPr>
      <w:r>
        <w:rPr>
          <w:rFonts w:ascii="Times New Roman" w:cs="Times New Roman" w:eastAsia="Times New Roman" w:hAnsi="Times New Roman"/>
          <w:sz w:val="20"/>
          <w:szCs w:val="20"/>
        </w:rPr>
        <w:t xml:space="preserve">Baker, M., &amp; Wurgler, J. (2006). Investor Sentiment and the Cross-Section of Stock Returns. Journal of Finance, 61(4), 1645-1680.</w:t>
      </w:r>
    </w:p>
    <w:p>
      <w:pPr>
        <w:pStyle w:val="ListParagraph"/>
        <w:numPr>
          <w:ilvl w:val="0"/>
          <w:numId w:val="2"/>
        </w:numPr>
        <w:spacing w:after="80"/>
      </w:pPr>
      <w:r>
        <w:rPr>
          <w:rFonts w:ascii="Times New Roman" w:cs="Times New Roman" w:eastAsia="Times New Roman" w:hAnsi="Times New Roman"/>
          <w:sz w:val="20"/>
          <w:szCs w:val="20"/>
        </w:rPr>
        <w:t xml:space="preserve">Easley, D., O'Hara, M., &amp; Basu, S. (2019). From Mining to Markets: The Evolution of Bitcoin Transaction Fees. Journal of Financial Economics, 134(1), 91-109.</w:t>
      </w:r>
    </w:p>
    <w:p>
      <w:pPr>
        <w:pStyle w:val="ListParagraph"/>
        <w:numPr>
          <w:ilvl w:val="0"/>
          <w:numId w:val="2"/>
        </w:numPr>
        <w:spacing w:after="80"/>
      </w:pPr>
      <w:r>
        <w:rPr>
          <w:rFonts w:ascii="Times New Roman" w:cs="Times New Roman" w:eastAsia="Times New Roman" w:hAnsi="Times New Roman"/>
          <w:sz w:val="20"/>
          <w:szCs w:val="20"/>
        </w:rPr>
        <w:t xml:space="preserve">Fama, E. F. (1970). Efficient Capital Markets: A Review of Theory and Empirical Work. Journal of Finance, 25(2), 383-417.</w:t>
      </w:r>
    </w:p>
    <w:p>
      <w:pPr>
        <w:pStyle w:val="ListParagraph"/>
        <w:numPr>
          <w:ilvl w:val="0"/>
          <w:numId w:val="2"/>
        </w:numPr>
        <w:spacing w:after="80"/>
      </w:pPr>
      <w:r>
        <w:rPr>
          <w:rFonts w:ascii="Times New Roman" w:cs="Times New Roman" w:eastAsia="Times New Roman" w:hAnsi="Times New Roman"/>
          <w:sz w:val="20"/>
          <w:szCs w:val="20"/>
        </w:rPr>
        <w:t xml:space="preserve">Farmer, J. D., &amp; Foley, D. (2009). The Economy Needs Agent-Based Modelling. Nature, 460(7256), 685-686.</w:t>
      </w:r>
    </w:p>
    <w:p>
      <w:pPr>
        <w:pStyle w:val="ListParagraph"/>
        <w:numPr>
          <w:ilvl w:val="0"/>
          <w:numId w:val="2"/>
        </w:numPr>
        <w:spacing w:after="80"/>
      </w:pPr>
      <w:r>
        <w:rPr>
          <w:rFonts w:ascii="Times New Roman" w:cs="Times New Roman" w:eastAsia="Times New Roman" w:hAnsi="Times New Roman"/>
          <w:sz w:val="20"/>
          <w:szCs w:val="20"/>
        </w:rPr>
        <w:t xml:space="preserve">Farmer, J. D., &amp; Skouras, S. (2012). An Ecological Perspective on the Future of Computer Trading. Quantitative Finance, 12(4), 607-613.</w:t>
      </w:r>
    </w:p>
    <w:p>
      <w:pPr>
        <w:pStyle w:val="ListParagraph"/>
        <w:numPr>
          <w:ilvl w:val="0"/>
          <w:numId w:val="2"/>
        </w:numPr>
        <w:spacing w:after="80"/>
      </w:pPr>
      <w:r>
        <w:rPr>
          <w:rFonts w:ascii="Times New Roman" w:cs="Times New Roman" w:eastAsia="Times New Roman" w:hAnsi="Times New Roman"/>
          <w:sz w:val="20"/>
          <w:szCs w:val="20"/>
        </w:rPr>
        <w:t xml:space="preserve">Holland, J. H. (1992). Adaptation in Natural and Artificial Systems. MIT Press.</w:t>
      </w:r>
    </w:p>
    <w:p>
      <w:pPr>
        <w:pStyle w:val="ListParagraph"/>
        <w:numPr>
          <w:ilvl w:val="0"/>
          <w:numId w:val="2"/>
        </w:numPr>
        <w:spacing w:after="80"/>
      </w:pPr>
      <w:r>
        <w:rPr>
          <w:rFonts w:ascii="Times New Roman" w:cs="Times New Roman" w:eastAsia="Times New Roman" w:hAnsi="Times New Roman"/>
          <w:sz w:val="20"/>
          <w:szCs w:val="20"/>
        </w:rPr>
        <w:t xml:space="preserve">Kyle, A. S. (1985). Continuous Auctions and Insider Trading. Econometrica, 53(6), 1315-1335.</w:t>
      </w:r>
    </w:p>
    <w:p>
      <w:pPr>
        <w:pStyle w:val="ListParagraph"/>
        <w:numPr>
          <w:ilvl w:val="0"/>
          <w:numId w:val="2"/>
        </w:numPr>
        <w:spacing w:after="80"/>
      </w:pPr>
      <w:r>
        <w:rPr>
          <w:rFonts w:ascii="Times New Roman" w:cs="Times New Roman" w:eastAsia="Times New Roman" w:hAnsi="Times New Roman"/>
          <w:sz w:val="20"/>
          <w:szCs w:val="20"/>
        </w:rPr>
        <w:t xml:space="preserve">Lo, A. W. (2004). The Adaptive Markets Hypothesis. Journal of Portfolio Management, 30(5), 15-29.</w:t>
      </w:r>
    </w:p>
    <w:p>
      <w:pPr>
        <w:pStyle w:val="ListParagraph"/>
        <w:numPr>
          <w:ilvl w:val="0"/>
          <w:numId w:val="2"/>
        </w:numPr>
        <w:spacing w:after="80"/>
      </w:pPr>
      <w:r>
        <w:rPr>
          <w:rFonts w:ascii="Times New Roman" w:cs="Times New Roman" w:eastAsia="Times New Roman" w:hAnsi="Times New Roman"/>
          <w:sz w:val="20"/>
          <w:szCs w:val="20"/>
        </w:rPr>
        <w:t xml:space="preserve">Lo, A. W. (2017). Adaptive Markets: Financial Evolution at the Speed of Thought. Princeton University Press.</w:t>
      </w:r>
    </w:p>
    <w:p>
      <w:pPr>
        <w:pStyle w:val="ListParagraph"/>
        <w:numPr>
          <w:ilvl w:val="0"/>
          <w:numId w:val="2"/>
        </w:numPr>
        <w:spacing w:after="80"/>
      </w:pPr>
      <w:r>
        <w:rPr>
          <w:rFonts w:ascii="Times New Roman" w:cs="Times New Roman" w:eastAsia="Times New Roman" w:hAnsi="Times New Roman"/>
          <w:sz w:val="20"/>
          <w:szCs w:val="20"/>
        </w:rPr>
        <w:t xml:space="preserve">Makarov, I., &amp; Schoar, A. (2020). Trading and Arbitrage in Cryptocurrency Markets. Journal of Financial Economics, 135(2), 293-319.</w:t>
      </w:r>
    </w:p>
    <w:p>
      <w:pPr>
        <w:pStyle w:val="ListParagraph"/>
        <w:numPr>
          <w:ilvl w:val="0"/>
          <w:numId w:val="2"/>
        </w:numPr>
        <w:spacing w:after="80"/>
      </w:pPr>
      <w:r>
        <w:rPr>
          <w:rFonts w:ascii="Times New Roman" w:cs="Times New Roman" w:eastAsia="Times New Roman" w:hAnsi="Times New Roman"/>
          <w:sz w:val="20"/>
          <w:szCs w:val="20"/>
        </w:rPr>
        <w:t xml:space="preserve">Soros, G. (1987). The Alchemy of Finance: Reading the Mind of the Market. John Wiley &amp; Sons.</w:t>
      </w:r>
    </w:p>
    <w:p>
      <w:pPr>
        <w:pStyle w:val="ListParagraph"/>
        <w:numPr>
          <w:ilvl w:val="0"/>
          <w:numId w:val="2"/>
        </w:numPr>
        <w:spacing w:after="80"/>
      </w:pPr>
      <w:r>
        <w:rPr>
          <w:rFonts w:ascii="Times New Roman" w:cs="Times New Roman" w:eastAsia="Times New Roman" w:hAnsi="Times New Roman"/>
          <w:sz w:val="20"/>
          <w:szCs w:val="20"/>
        </w:rPr>
        <w:t xml:space="preserve">Tran, V. L., &amp; Leirvik, T. (2020). Efficiency in the Markets of Crypto-Currencies. Finance Research Letters, 35, 101382.</w:t>
      </w:r>
    </w:p>
    <w:p>
      <w:pPr>
        <w:pStyle w:val="ListParagraph"/>
        <w:numPr>
          <w:ilvl w:val="0"/>
          <w:numId w:val="2"/>
        </w:numPr>
        <w:spacing w:after="80"/>
      </w:pPr>
      <w:r>
        <w:rPr>
          <w:rFonts w:ascii="Times New Roman" w:cs="Times New Roman" w:eastAsia="Times New Roman" w:hAnsi="Times New Roman"/>
          <w:sz w:val="20"/>
          <w:szCs w:val="20"/>
        </w:rPr>
        <w:t xml:space="preserve">Urquhart, A. (2016). The Inefficiency of Bitcoin. Economics Letters, 148, 80-82.</w:t>
      </w:r>
    </w:p>
    <w:p>
      <w:pPr>
        <w:pStyle w:val="ListParagraph"/>
        <w:numPr>
          <w:ilvl w:val="0"/>
          <w:numId w:val="2"/>
        </w:numPr>
        <w:spacing w:after="80"/>
      </w:pPr>
      <w:r>
        <w:rPr>
          <w:rFonts w:ascii="Times New Roman" w:cs="Times New Roman" w:eastAsia="Times New Roman" w:hAnsi="Times New Roman"/>
          <w:sz w:val="20"/>
          <w:szCs w:val="20"/>
        </w:rPr>
        <w:t xml:space="preserve">Wei, W. C. (2018). Liquidity and Market Efficiency in Cryptocurrencies. Economics Letters, 168, 21-24.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6"/>
        <w:szCs w:val="16"/>
      </w:rPr>
      <w:t xml:space="preserve">Adaptive Algorithmic Trading in Cryptocurrency Markets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2026-03-26T07:24:33.921Z</dcterms:created>
  <dcterms:modified xsi:type="dcterms:W3CDTF">2026-03-26T07:24:33.925Z</dcterms:modified>
</cp:coreProperties>
</file>

<file path=docProps/custom.xml><?xml version="1.0" encoding="utf-8"?>
<Properties xmlns="http://schemas.openxmlformats.org/officeDocument/2006/custom-properties" xmlns:vt="http://schemas.openxmlformats.org/officeDocument/2006/docPropsVTypes"/>
</file>