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Times New Roman" w:cs="Times New Roman" w:eastAsia="Times New Roman" w:hAnsi="Times New Roman"/>
          <w:b/>
          <w:bCs/>
          <w:sz w:val="36"/>
          <w:szCs w:val="36"/>
        </w:rPr>
        <w:t xml:space="preserve">Adaptive Limits of Algorithmic Cryptocurrency Trading</w:t>
      </w:r>
    </w:p>
    <w:p>
      <w:pPr>
        <w:spacing w:after="200" w:before="0"/>
        <w:jc w:val="center"/>
      </w:pPr>
      <w:r>
        <w:rPr>
          <w:rFonts w:ascii="Times New Roman" w:cs="Times New Roman" w:eastAsia="Times New Roman" w:hAnsi="Times New Roman"/>
          <w:b/>
          <w:bCs/>
          <w:sz w:val="36"/>
          <w:szCs w:val="36"/>
        </w:rPr>
        <w:t xml:space="preserve">from a Complex Systems Perspective:</w:t>
      </w:r>
    </w:p>
    <w:p>
      <w:pPr>
        <w:spacing w:after="400" w:before="0"/>
        <w:jc w:val="center"/>
      </w:pPr>
      <w:r>
        <w:rPr>
          <w:rFonts w:ascii="Times New Roman" w:cs="Times New Roman" w:eastAsia="Times New Roman" w:hAnsi="Times New Roman"/>
          <w:b/>
          <w:bCs/>
          <w:sz w:val="36"/>
          <w:szCs w:val="36"/>
        </w:rPr>
        <w:t xml:space="preserve">A Study on Human-AI Collaborative Strategy</w:t>
      </w:r>
    </w:p>
    <w:p>
      <w:pPr>
        <w:spacing w:after="40" w:before="300"/>
        <w:jc w:val="center"/>
      </w:pPr>
      <w:r>
        <w:rPr>
          <w:rFonts w:ascii="Times New Roman" w:cs="Times New Roman" w:eastAsia="Times New Roman" w:hAnsi="Times New Roman"/>
          <w:b/>
          <w:bCs/>
          <w:sz w:val="24"/>
          <w:szCs w:val="24"/>
        </w:rPr>
        <w:t xml:space="preserve">Wonpyo Han</w:t>
      </w:r>
    </w:p>
    <w:p>
      <w:pPr>
        <w:spacing w:after="40" w:before="0"/>
        <w:jc w:val="center"/>
      </w:pPr>
      <w:r>
        <w:rPr>
          <w:rFonts w:ascii="Times New Roman" w:cs="Times New Roman" w:eastAsia="Times New Roman" w:hAnsi="Times New Roman"/>
          <w:sz w:val="22"/>
          <w:szCs w:val="22"/>
        </w:rPr>
        <w:t xml:space="preserve">Department of Industrial and Management Engineering</w:t>
      </w:r>
    </w:p>
    <w:p>
      <w:pPr>
        <w:spacing w:after="40" w:before="0"/>
        <w:jc w:val="center"/>
      </w:pPr>
      <w:r>
        <w:rPr>
          <w:rFonts w:ascii="Times New Roman" w:cs="Times New Roman" w:eastAsia="Times New Roman" w:hAnsi="Times New Roman"/>
          <w:sz w:val="22"/>
          <w:szCs w:val="22"/>
        </w:rPr>
        <w:t xml:space="preserve">Hansung University, Seoul, South Korea</w:t>
      </w:r>
    </w:p>
    <w:p>
      <w:pPr>
        <w:spacing w:after="400" w:before="0"/>
        <w:jc w:val="center"/>
      </w:pPr>
      <w:r>
        <w:rPr>
          <w:rFonts w:ascii="Times New Roman" w:cs="Times New Roman" w:eastAsia="Times New Roman" w:hAnsi="Times New Roman"/>
          <w:sz w:val="22"/>
          <w:szCs w:val="22"/>
        </w:rPr>
        <w:t xml:space="preserve">pk102h@naver.com</w:t>
      </w:r>
    </w:p>
    <w:p>
      <w:pPr>
        <w:spacing w:after="600" w:before="0"/>
        <w:jc w:val="center"/>
      </w:pPr>
      <w:r>
        <w:rPr>
          <w:rFonts w:ascii="Times New Roman" w:cs="Times New Roman" w:eastAsia="Times New Roman" w:hAnsi="Times New Roman"/>
          <w:sz w:val="22"/>
          <w:szCs w:val="22"/>
        </w:rPr>
        <w:t xml:space="preserve">March 2026</w:t>
      </w:r>
    </w:p>
    <w:p>
      <w:pPr>
        <w:spacing w:after="100" w:before="200"/>
        <w:jc w:val="center"/>
      </w:pPr>
      <w:r>
        <w:rPr>
          <w:rFonts w:ascii="Times New Roman" w:cs="Times New Roman" w:eastAsia="Times New Roman" w:hAnsi="Times New Roman"/>
          <w:b/>
          <w:bCs/>
          <w:sz w:val="24"/>
          <w:szCs w:val="24"/>
        </w:rPr>
        <w:t xml:space="preserve">ABSTRACT</w:t>
      </w:r>
    </w:p>
    <w:p>
      <w:pPr>
        <w:spacing w:after="80" w:before="80" w:line="360"/>
        <w:jc w:val="both"/>
      </w:pPr>
      <w:r>
        <w:rPr>
          <w:rFonts w:ascii="Times New Roman" w:cs="Times New Roman" w:eastAsia="Times New Roman" w:hAnsi="Times New Roman"/>
          <w:sz w:val="22"/>
          <w:szCs w:val="22"/>
        </w:rPr>
        <w:t xml:space="preserve">This study characterizes the cryptocurrency market as a Complex Adaptive System (CAS) and empirically analyzes the performance and limitations of an automated trading algorithm combining RSI, MACD, Bollinger Bands, and the Fear &amp; Greed Index through three iterative improvement stages. We conducted 80 backtesting experiments across 10 cryptocurrency assets and 8 market periods spanning 45 months (June 2022 to March 2026), supplemented by walk-forward cross-validation, Q-Learning reinforcement learning-based dynamic parameter adaptation, and news sentiment analysis integration. Results show that the algorithm's alpha is statistically significantly negative (t=-2.041, p=0.045), yet achieves significant positive alpha in bear markets (p=0.003), demonstrating effective risk management. Neither reinforcement learning nor sentiment analysis provided statistically significant improvements (p=0.20 and p=0.54, respectively). Walk-forward validation reveals that improvements transfer to unseen data (p=0.011), ruling out overfitting. These findings support the semi-strong form of the Efficient Market Hypothesis in cryptocurrency markets and motivate a human-AI collaborative framework combining human regime judgment with algorithmic disciplined execution.</w:t>
      </w:r>
    </w:p>
    <w:p>
      <w:pPr>
        <w:spacing w:after="80" w:before="1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Cryptocurrency, Algorithmic Trading, Complex Adaptive System, Efficient Market Hypothesis, Reinforcement Learning, Sentiment Analysis, Human-AI Collaboration</w:t>
      </w:r>
    </w:p>
    <w:p>
      <w:pPr>
        <w:spacing w:after="200" w:before="80"/>
      </w:pPr>
      <w:r>
        <w:rPr>
          <w:rFonts w:ascii="Times New Roman" w:cs="Times New Roman" w:eastAsia="Times New Roman" w:hAnsi="Times New Roman"/>
          <w:b/>
          <w:bCs/>
          <w:sz w:val="22"/>
          <w:szCs w:val="22"/>
        </w:rPr>
        <w:t xml:space="preserve">JEL Classification: </w:t>
      </w:r>
      <w:r>
        <w:rPr>
          <w:rFonts w:ascii="Times New Roman" w:cs="Times New Roman" w:eastAsia="Times New Roman" w:hAnsi="Times New Roman"/>
          <w:sz w:val="22"/>
          <w:szCs w:val="22"/>
        </w:rPr>
        <w:t xml:space="preserve">G14, G11, C63, C61</w:t>
      </w:r>
    </w:p>
    <w:p>
      <w:r>
        <w:br w:type="page"/>
      </w:r>
    </w:p>
    <w:p>
      <w:pPr>
        <w:pStyle w:val="Heading1"/>
        <w:spacing w:after="200" w:before="360"/>
      </w:pPr>
      <w:r>
        <w:rPr>
          <w:rFonts w:ascii="Times New Roman" w:cs="Times New Roman" w:eastAsia="Times New Roman" w:hAnsi="Times New Roman"/>
          <w:b/>
          <w:bCs/>
          <w:sz w:val="28"/>
          <w:szCs w:val="28"/>
        </w:rPr>
        <w:t xml:space="preserve">1. Introduction</w:t>
      </w:r>
    </w:p>
    <w:p>
      <w:pPr>
        <w:spacing w:after="80" w:before="80" w:line="360"/>
        <w:ind w:firstLine="400"/>
        <w:jc w:val="both"/>
      </w:pPr>
      <w:r>
        <w:rPr>
          <w:rFonts w:ascii="Times New Roman" w:cs="Times New Roman" w:eastAsia="Times New Roman" w:hAnsi="Times New Roman"/>
          <w:sz w:val="22"/>
          <w:szCs w:val="22"/>
        </w:rPr>
        <w:t xml:space="preserve">Since the emergence of Bitcoin in 2009, the cryptocurrency market has grown to surpass $3 trillion in market capitalization by 2024 (CoinMarketCap, 2024). Unlike traditional financial markets, cryptocurrency markets operate continuously, feature low barriers to entry, and exhibit extreme price volatility. In this environment, algorithmic trading has proliferated under the promise of eliminating emotional biases and automating disciplined investment decisions.</w:t>
      </w:r>
    </w:p>
    <w:p>
      <w:pPr>
        <w:spacing w:after="80" w:before="80" w:line="360"/>
        <w:ind w:firstLine="400"/>
        <w:jc w:val="both"/>
      </w:pPr>
      <w:r>
        <w:rPr>
          <w:rFonts w:ascii="Times New Roman" w:cs="Times New Roman" w:eastAsia="Times New Roman" w:hAnsi="Times New Roman"/>
          <w:sz w:val="22"/>
          <w:szCs w:val="22"/>
        </w:rPr>
        <w:t xml:space="preserve">However, the cryptocurrency market exhibits the hallmark characteristics of a Complex Adaptive System (CAS) as defined by Holland (1992). Heterogeneous agents (retail investors, institutions, and trading bots) interact under incomplete information, and their collective behavior generates nonlinear price dynamics and emergent patterns. The proliferation of algorithmic traders using similar technical indicators fundamentally alters market microstructure, potentially creating self-defeating dynamics that erode individual strategy profitability (Farmer &amp; Skouras, 2013).</w:t>
      </w:r>
    </w:p>
    <w:p>
      <w:pPr>
        <w:spacing w:after="80" w:before="80" w:line="360"/>
        <w:ind w:firstLine="400"/>
        <w:jc w:val="both"/>
      </w:pPr>
      <w:r>
        <w:rPr>
          <w:rFonts w:ascii="Times New Roman" w:cs="Times New Roman" w:eastAsia="Times New Roman" w:hAnsi="Times New Roman"/>
          <w:sz w:val="22"/>
          <w:szCs w:val="22"/>
        </w:rPr>
        <w:t xml:space="preserve">This study takes an empirical approach, iteratively improving a cryptocurrency automated trading algorithm through three stages and statistically validating performance at each stage. We extend beyond conventional backtesting by incorporating Q-Learning reinforcement learning for dynamic parameter adaptation, news sentiment analysis integration, and rigorous walk-forward cross-validation to control for overfitting risk. Our central research questions are:</w:t>
      </w:r>
    </w:p>
    <w:p>
      <w:pPr>
        <w:spacing w:after="80" w:before="80" w:line="360"/>
        <w:ind w:firstLine="400"/>
        <w:jc w:val="both"/>
      </w:pPr>
      <w:r>
        <w:rPr>
          <w:rFonts w:ascii="Times New Roman" w:cs="Times New Roman" w:eastAsia="Times New Roman" w:hAnsi="Times New Roman"/>
          <w:sz w:val="22"/>
          <w:szCs w:val="22"/>
        </w:rPr>
        <w:t xml:space="preserve">RQ1: Can a composite technical analysis algorithm generate statistically significant positive alpha in cryptocurrency markets after transaction costs?</w:t>
      </w:r>
    </w:p>
    <w:p>
      <w:pPr>
        <w:spacing w:after="80" w:before="80" w:line="360"/>
        <w:ind w:firstLine="400"/>
        <w:jc w:val="both"/>
      </w:pPr>
      <w:r>
        <w:rPr>
          <w:rFonts w:ascii="Times New Roman" w:cs="Times New Roman" w:eastAsia="Times New Roman" w:hAnsi="Times New Roman"/>
          <w:sz w:val="22"/>
          <w:szCs w:val="22"/>
        </w:rPr>
        <w:t xml:space="preserve">RQ2: Does the algorithm's performance vary systematically across market regimes (bull, bear, sideways)?</w:t>
      </w:r>
    </w:p>
    <w:p>
      <w:pPr>
        <w:spacing w:after="80" w:before="80" w:line="360"/>
        <w:ind w:firstLine="400"/>
        <w:jc w:val="both"/>
      </w:pPr>
      <w:r>
        <w:rPr>
          <w:rFonts w:ascii="Times New Roman" w:cs="Times New Roman" w:eastAsia="Times New Roman" w:hAnsi="Times New Roman"/>
          <w:sz w:val="22"/>
          <w:szCs w:val="22"/>
        </w:rPr>
        <w:t xml:space="preserve">RQ3: Can reinforcement learning or sentiment analysis provide incremental improvements over the base strategy?</w:t>
      </w:r>
    </w:p>
    <w:p>
      <w:pPr>
        <w:spacing w:after="80" w:before="80" w:line="360"/>
        <w:ind w:firstLine="400"/>
        <w:jc w:val="both"/>
      </w:pPr>
      <w:r>
        <w:rPr>
          <w:rFonts w:ascii="Times New Roman" w:cs="Times New Roman" w:eastAsia="Times New Roman" w:hAnsi="Times New Roman"/>
          <w:sz w:val="22"/>
          <w:szCs w:val="22"/>
        </w:rPr>
        <w:t xml:space="preserve">RQ4: What is the optimal division of labor between human judgment and algorithmic execution?</w:t>
      </w:r>
    </w:p>
    <w:p>
      <w:pPr>
        <w:spacing w:after="80" w:before="80" w:line="360"/>
        <w:ind w:firstLine="400"/>
        <w:jc w:val="both"/>
      </w:pPr>
      <w:r>
        <w:rPr>
          <w:rFonts w:ascii="Times New Roman" w:cs="Times New Roman" w:eastAsia="Times New Roman" w:hAnsi="Times New Roman"/>
          <w:sz w:val="22"/>
          <w:szCs w:val="22"/>
        </w:rPr>
        <w:t xml:space="preserve">Our key contributions are threefold. First, we provide the largest-scale empirical test of composite technical trading rules in cryptocurrency markets to date (10 assets, 45 months, 80 experiments). Second, we document a novel asymmetric alpha pattern: significantly positive in bear markets (p=0.003) but significantly negative in bull markets (p=0.025), which we interpret through the lens of algorithmic crowding theory. Third, we propose a human-AI collaborative framework grounded in empirical evidence rather than theoretical speculation.</w:t>
      </w:r>
    </w:p>
    <w:p>
      <w:pPr>
        <w:pStyle w:val="Heading1"/>
        <w:spacing w:after="200" w:before="360"/>
      </w:pPr>
      <w:r>
        <w:rPr>
          <w:rFonts w:ascii="Times New Roman" w:cs="Times New Roman" w:eastAsia="Times New Roman" w:hAnsi="Times New Roman"/>
          <w:b/>
          <w:bCs/>
          <w:sz w:val="28"/>
          <w:szCs w:val="28"/>
        </w:rPr>
        <w:t xml:space="preserve">2. Literature Review</w:t>
      </w:r>
    </w:p>
    <w:p>
      <w:pPr>
        <w:pStyle w:val="Heading2"/>
        <w:spacing w:after="160" w:before="280"/>
      </w:pPr>
      <w:r>
        <w:rPr>
          <w:rFonts w:ascii="Times New Roman" w:cs="Times New Roman" w:eastAsia="Times New Roman" w:hAnsi="Times New Roman"/>
          <w:b/>
          <w:bCs/>
          <w:sz w:val="24"/>
          <w:szCs w:val="24"/>
        </w:rPr>
        <w:t xml:space="preserve">2.1 Complex Adaptive Systems and Financial Markets</w:t>
      </w:r>
    </w:p>
    <w:p>
      <w:pPr>
        <w:spacing w:after="80" w:before="80" w:line="360"/>
        <w:ind w:firstLine="400"/>
        <w:jc w:val="both"/>
      </w:pPr>
      <w:r>
        <w:rPr>
          <w:rFonts w:ascii="Times New Roman" w:cs="Times New Roman" w:eastAsia="Times New Roman" w:hAnsi="Times New Roman"/>
          <w:sz w:val="22"/>
          <w:szCs w:val="22"/>
        </w:rPr>
        <w:t xml:space="preserve">Complex Adaptive Systems (CAS) are characterized by heterogeneous interacting agents whose local adaptations produce emergent macroscopic phenomena (Holland, 1992; Arthur, 1999). Arthur's (1999) complexity economics framework explains that economic agents employ inductive reasoning rather than deductive optimization, generating positive feedback loops, path dependence, and multiple equilibria. In cryptocurrency markets, these manifest as FOMO-driven bubbles and panic-driven crashes.</w:t>
      </w:r>
    </w:p>
    <w:p>
      <w:pPr>
        <w:spacing w:after="80" w:before="80" w:line="360"/>
        <w:ind w:firstLine="400"/>
        <w:jc w:val="both"/>
      </w:pPr>
      <w:r>
        <w:rPr>
          <w:rFonts w:ascii="Times New Roman" w:cs="Times New Roman" w:eastAsia="Times New Roman" w:hAnsi="Times New Roman"/>
          <w:sz w:val="22"/>
          <w:szCs w:val="22"/>
        </w:rPr>
        <w:t xml:space="preserve">Bouchaud (2008) demonstrated that financial price changes exhibit fat-tailed distributions and volatility clustering, violating the assumptions of traditional financial models. These statistical properties impose structural constraints on the performance of technical analysis-based algorithms, as extreme events occur far more frequently than Gaussian models predict.</w:t>
      </w:r>
    </w:p>
    <w:p>
      <w:pPr>
        <w:pStyle w:val="Heading2"/>
        <w:spacing w:after="160" w:before="280"/>
      </w:pPr>
      <w:r>
        <w:rPr>
          <w:rFonts w:ascii="Times New Roman" w:cs="Times New Roman" w:eastAsia="Times New Roman" w:hAnsi="Times New Roman"/>
          <w:b/>
          <w:bCs/>
          <w:sz w:val="24"/>
          <w:szCs w:val="24"/>
        </w:rPr>
        <w:t xml:space="preserve">2.2 Efficient Market Hypothesis in Cryptocurrency Markets</w:t>
      </w:r>
    </w:p>
    <w:p>
      <w:pPr>
        <w:spacing w:after="80" w:before="80" w:line="360"/>
        <w:ind w:firstLine="400"/>
        <w:jc w:val="both"/>
      </w:pPr>
      <w:r>
        <w:rPr>
          <w:rFonts w:ascii="Times New Roman" w:cs="Times New Roman" w:eastAsia="Times New Roman" w:hAnsi="Times New Roman"/>
          <w:sz w:val="22"/>
          <w:szCs w:val="22"/>
        </w:rPr>
        <w:t xml:space="preserve">Fama's (1970) Efficient Market Hypothesis (EMH) posits that market prices fully reflect all available information, implying that trading strategies based on public technical indicators cannot generate positive alpha net of transaction costs. While extensively supported in traditional markets (Malkiel, 2003), the EMH's applicability to cryptocurrency markets remains contested.</w:t>
      </w:r>
    </w:p>
    <w:p>
      <w:pPr>
        <w:spacing w:after="80" w:before="80" w:line="360"/>
        <w:ind w:firstLine="400"/>
        <w:jc w:val="both"/>
      </w:pPr>
      <w:r>
        <w:rPr>
          <w:rFonts w:ascii="Times New Roman" w:cs="Times New Roman" w:eastAsia="Times New Roman" w:hAnsi="Times New Roman"/>
          <w:sz w:val="22"/>
          <w:szCs w:val="22"/>
        </w:rPr>
        <w:t xml:space="preserve">Early studies reported significant inefficiencies in Bitcoin markets (Urquhart, 2016; Nadarajah &amp; Chu, 2017). However, recent evidence suggests increasing efficiency as markets mature (Tran &amp; Leirvik, 2020). This temporal evolution of market efficiency is particularly relevant for algorithmic trading strategies, as signals that generated alpha historically may cease to do so as more traders exploit them, consistent with the Grossman-Stiglitz (1980) information cost paradox.</w:t>
      </w:r>
    </w:p>
    <w:p>
      <w:pPr>
        <w:pStyle w:val="Heading2"/>
        <w:spacing w:after="160" w:before="280"/>
      </w:pPr>
      <w:r>
        <w:rPr>
          <w:rFonts w:ascii="Times New Roman" w:cs="Times New Roman" w:eastAsia="Times New Roman" w:hAnsi="Times New Roman"/>
          <w:b/>
          <w:bCs/>
          <w:sz w:val="24"/>
          <w:szCs w:val="24"/>
        </w:rPr>
        <w:t xml:space="preserve">2.3 Technical Analysis in Cryptocurrency Trading</w:t>
      </w:r>
    </w:p>
    <w:p>
      <w:pPr>
        <w:spacing w:after="80" w:before="80" w:line="360"/>
        <w:ind w:firstLine="400"/>
        <w:jc w:val="both"/>
      </w:pPr>
      <w:r>
        <w:rPr>
          <w:rFonts w:ascii="Times New Roman" w:cs="Times New Roman" w:eastAsia="Times New Roman" w:hAnsi="Times New Roman"/>
          <w:sz w:val="22"/>
          <w:szCs w:val="22"/>
        </w:rPr>
        <w:t xml:space="preserve">Technical analysis identifies recurring patterns in historical price and volume data to predict future price movements. The indicators employed in this study, RSI (Wilder, 1978), MACD (Appel, 1979), and Bollinger Bands (Bollinger, 2002), represent the most widely used tools among cryptocurrency traders. Hudson and Urquhart (2021) conducted a meta-analysis finding that technical analysis has limited but statistically significant predictive power in cryptocurrency markets, though economic significance after transaction costs remains uncertain.</w:t>
      </w:r>
    </w:p>
    <w:p>
      <w:pPr>
        <w:pStyle w:val="Heading2"/>
        <w:spacing w:after="160" w:before="280"/>
      </w:pPr>
      <w:r>
        <w:rPr>
          <w:rFonts w:ascii="Times New Roman" w:cs="Times New Roman" w:eastAsia="Times New Roman" w:hAnsi="Times New Roman"/>
          <w:b/>
          <w:bCs/>
          <w:sz w:val="24"/>
          <w:szCs w:val="24"/>
        </w:rPr>
        <w:t xml:space="preserve">2.4 Reinforcement Learning in Finance</w:t>
      </w:r>
    </w:p>
    <w:p>
      <w:pPr>
        <w:spacing w:after="80" w:before="80" w:line="360"/>
        <w:ind w:firstLine="400"/>
        <w:jc w:val="both"/>
      </w:pPr>
      <w:r>
        <w:rPr>
          <w:rFonts w:ascii="Times New Roman" w:cs="Times New Roman" w:eastAsia="Times New Roman" w:hAnsi="Times New Roman"/>
          <w:sz w:val="22"/>
          <w:szCs w:val="22"/>
        </w:rPr>
        <w:t xml:space="preserve">Reinforcement learning (RL) enables agents to learn optimal policies through interaction with an environment (Sutton &amp; Barto, 2018). Financial applications include deep RL for portfolio management (Fischer, 2018) and cryptocurrency portfolio optimization (Jiang et al., 2017). Q-Learning (Watkins &amp; Dayan, 1992), a model-free RL algorithm, estimates action-value functions to derive optimal policies without requiring a model of market dynamics.</w:t>
      </w:r>
    </w:p>
    <w:p>
      <w:pPr>
        <w:pStyle w:val="Heading2"/>
        <w:spacing w:after="160" w:before="280"/>
      </w:pPr>
      <w:r>
        <w:rPr>
          <w:rFonts w:ascii="Times New Roman" w:cs="Times New Roman" w:eastAsia="Times New Roman" w:hAnsi="Times New Roman"/>
          <w:b/>
          <w:bCs/>
          <w:sz w:val="24"/>
          <w:szCs w:val="24"/>
        </w:rPr>
        <w:t xml:space="preserve">2.5 Sentiment Analysis and Market Psychology</w:t>
      </w:r>
    </w:p>
    <w:p>
      <w:pPr>
        <w:spacing w:after="80" w:before="80" w:line="360"/>
        <w:ind w:firstLine="400"/>
        <w:jc w:val="both"/>
      </w:pPr>
      <w:r>
        <w:rPr>
          <w:rFonts w:ascii="Times New Roman" w:cs="Times New Roman" w:eastAsia="Times New Roman" w:hAnsi="Times New Roman"/>
          <w:sz w:val="22"/>
          <w:szCs w:val="22"/>
        </w:rPr>
        <w:t xml:space="preserve">Behavioral economics (Kahneman &amp; Tversky, 1979) posits that investor sentiment significantly influences market prices. The Fear &amp; Greed Index (Alternative.me, 2024) quantifies market psychology on a 0-100 scale by aggregating volatility, volume, and social media sentiment. Bollen et al. (2011) demonstrated that Twitter sentiment predicted Dow Jones direction with 87.6% accuracy, while Kristoufek (2015) found asymmetric effects of social media sentiment on Bitcoin prices.</w:t>
      </w:r>
    </w:p>
    <w:p>
      <w:r>
        <w:br w:type="page"/>
      </w:r>
    </w:p>
    <w:p>
      <w:pPr>
        <w:pStyle w:val="Heading1"/>
        <w:spacing w:after="200" w:before="360"/>
      </w:pPr>
      <w:r>
        <w:rPr>
          <w:rFonts w:ascii="Times New Roman" w:cs="Times New Roman" w:eastAsia="Times New Roman" w:hAnsi="Times New Roman"/>
          <w:b/>
          <w:bCs/>
          <w:sz w:val="28"/>
          <w:szCs w:val="28"/>
        </w:rPr>
        <w:t xml:space="preserve">3. Methodology</w:t>
      </w:r>
    </w:p>
    <w:p>
      <w:pPr>
        <w:pStyle w:val="Heading2"/>
        <w:spacing w:after="160" w:before="280"/>
      </w:pPr>
      <w:r>
        <w:rPr>
          <w:rFonts w:ascii="Times New Roman" w:cs="Times New Roman" w:eastAsia="Times New Roman" w:hAnsi="Times New Roman"/>
          <w:b/>
          <w:bCs/>
          <w:sz w:val="24"/>
          <w:szCs w:val="24"/>
        </w:rPr>
        <w:t xml:space="preserve">3.1 Data</w:t>
      </w:r>
    </w:p>
    <w:p>
      <w:pPr>
        <w:spacing w:after="80" w:before="80" w:line="360"/>
        <w:ind w:firstLine="400"/>
        <w:jc w:val="both"/>
      </w:pPr>
      <w:r>
        <w:rPr>
          <w:rFonts w:ascii="Times New Roman" w:cs="Times New Roman" w:eastAsia="Times New Roman" w:hAnsi="Times New Roman"/>
          <w:sz w:val="22"/>
          <w:szCs w:val="22"/>
        </w:rPr>
        <w:t xml:space="preserve">We use hourly OHLCV (Open, High, Low, Close, Volume) data from the Binance exchange for the top 10 cryptocurrencies by market capitalization: BTC, ETH, SOL, BNB, XRP, ADA, DOGE, AVAX, LINK, and DOT. The analysis spans 45 months from June 2022 to March 2026, divided into 8 market periods classified by Buy &amp; Hold return: bull (&gt;+10%), bear (&lt;-10%), or sideways (in between).</w:t>
      </w:r>
    </w:p>
    <w:p>
      <w:pPr>
        <w:pStyle w:val="Heading2"/>
        <w:spacing w:after="160" w:before="280"/>
      </w:pPr>
      <w:r>
        <w:rPr>
          <w:rFonts w:ascii="Times New Roman" w:cs="Times New Roman" w:eastAsia="Times New Roman" w:hAnsi="Times New Roman"/>
          <w:b/>
          <w:bCs/>
          <w:sz w:val="24"/>
          <w:szCs w:val="24"/>
        </w:rPr>
        <w:t xml:space="preserve">3.2 Trading Algorithm Design</w:t>
      </w:r>
    </w:p>
    <w:p>
      <w:pPr>
        <w:spacing w:after="120" w:before="200"/>
      </w:pPr>
      <w:r>
        <w:rPr>
          <w:rFonts w:ascii="Times New Roman" w:cs="Times New Roman" w:eastAsia="Times New Roman" w:hAnsi="Times New Roman"/>
          <w:b/>
          <w:bCs/>
          <w:i/>
          <w:iCs/>
          <w:sz w:val="22"/>
          <w:szCs w:val="22"/>
        </w:rPr>
        <w:t xml:space="preserve">3.2.1 Base Strategy (V1)</w:t>
      </w:r>
    </w:p>
    <w:p>
      <w:pPr>
        <w:spacing w:after="80" w:before="80" w:line="360"/>
        <w:ind w:firstLine="400"/>
        <w:jc w:val="both"/>
      </w:pPr>
      <w:r>
        <w:rPr>
          <w:rFonts w:ascii="Times New Roman" w:cs="Times New Roman" w:eastAsia="Times New Roman" w:hAnsi="Times New Roman"/>
          <w:sz w:val="22"/>
          <w:szCs w:val="22"/>
        </w:rPr>
        <w:t xml:space="preserve">The base strategy generates buy/sell signals from an AND/OR combination of four indicators:</w:t>
      </w:r>
    </w:p>
    <w:p>
      <w:pPr>
        <w:spacing w:after="80" w:before="80" w:line="360"/>
        <w:ind w:firstLine="400"/>
        <w:jc w:val="both"/>
      </w:pPr>
      <w:r>
        <w:rPr>
          <w:rFonts w:ascii="Times New Roman" w:cs="Times New Roman" w:eastAsia="Times New Roman" w:hAnsi="Times New Roman"/>
          <w:sz w:val="22"/>
          <w:szCs w:val="22"/>
        </w:rPr>
        <w:t xml:space="preserve">Buy condition: (RSI &lt; 35 OR Price &lt; Lower BB x 1.02) AND (F&amp;G &lt; 35 OR MACD histogram turning up)</w:t>
      </w:r>
    </w:p>
    <w:p>
      <w:pPr>
        <w:spacing w:after="80" w:before="80" w:line="360"/>
        <w:ind w:firstLine="400"/>
        <w:jc w:val="both"/>
      </w:pPr>
      <w:r>
        <w:rPr>
          <w:rFonts w:ascii="Times New Roman" w:cs="Times New Roman" w:eastAsia="Times New Roman" w:hAnsi="Times New Roman"/>
          <w:sz w:val="22"/>
          <w:szCs w:val="22"/>
        </w:rPr>
        <w:t xml:space="preserve">Sell condition: (RSI &gt; 70 OR Price &gt; Upper BB x 0.98) AND (F&amp;G &gt; 75 OR MACD histogram turning down)</w:t>
      </w:r>
    </w:p>
    <w:p>
      <w:pPr>
        <w:spacing w:after="80" w:before="80" w:line="360"/>
        <w:ind w:firstLine="400"/>
        <w:jc w:val="both"/>
      </w:pPr>
      <w:r>
        <w:rPr>
          <w:rFonts w:ascii="Times New Roman" w:cs="Times New Roman" w:eastAsia="Times New Roman" w:hAnsi="Times New Roman"/>
          <w:sz w:val="22"/>
          <w:szCs w:val="22"/>
        </w:rPr>
        <w:t xml:space="preserve">Position sizing is 10% of balance, with 5% stop-loss and 10% take-profit.</w:t>
      </w:r>
    </w:p>
    <w:p>
      <w:pPr>
        <w:spacing w:after="120" w:before="200"/>
      </w:pPr>
      <w:r>
        <w:rPr>
          <w:rFonts w:ascii="Times New Roman" w:cs="Times New Roman" w:eastAsia="Times New Roman" w:hAnsi="Times New Roman"/>
          <w:b/>
          <w:bCs/>
          <w:i/>
          <w:iCs/>
          <w:sz w:val="22"/>
          <w:szCs w:val="22"/>
        </w:rPr>
        <w:t xml:space="preserve">3.2.2 Dual-Mode Strategy (V3)</w:t>
      </w:r>
    </w:p>
    <w:p>
      <w:pPr>
        <w:spacing w:after="80" w:before="80" w:line="360"/>
        <w:ind w:firstLine="400"/>
        <w:jc w:val="both"/>
      </w:pPr>
      <w:r>
        <w:rPr>
          <w:rFonts w:ascii="Times New Roman" w:cs="Times New Roman" w:eastAsia="Times New Roman" w:hAnsi="Times New Roman"/>
          <w:sz w:val="22"/>
          <w:szCs w:val="22"/>
        </w:rPr>
        <w:t xml:space="preserve">Based on V1 analysis, we designed a dual-mode system that automatically switches strategies based on market regime. The Trend Score (0-100) is computed from EMA(20/50) spread, volume ratio, momentum, directional consistency, and MACD. Key parameters: Golden Zone (score 30-55) applies 3x position multiplier and 15% take-profit; Danger Zone (score 55+) blocks all entries to avoid algorithmic crowding; minimum hold time of 8 hours with 18-hour cooldown.</w:t>
      </w:r>
    </w:p>
    <w:p>
      <w:pPr>
        <w:pStyle w:val="Heading2"/>
        <w:spacing w:after="160" w:before="280"/>
      </w:pPr>
      <w:r>
        <w:rPr>
          <w:rFonts w:ascii="Times New Roman" w:cs="Times New Roman" w:eastAsia="Times New Roman" w:hAnsi="Times New Roman"/>
          <w:b/>
          <w:bCs/>
          <w:sz w:val="24"/>
          <w:szCs w:val="24"/>
        </w:rPr>
        <w:t xml:space="preserve">3.3 Smart Money Index</w:t>
      </w:r>
    </w:p>
    <w:p>
      <w:pPr>
        <w:spacing w:after="80" w:before="80" w:line="360"/>
        <w:ind w:firstLine="400"/>
        <w:jc w:val="both"/>
      </w:pPr>
      <w:r>
        <w:rPr>
          <w:rFonts w:ascii="Times New Roman" w:cs="Times New Roman" w:eastAsia="Times New Roman" w:hAnsi="Times New Roman"/>
          <w:sz w:val="22"/>
          <w:szCs w:val="22"/>
        </w:rPr>
        <w:t xml:space="preserve">We collect four institutional/whale activity indicators via the Binance Futures API: (1) Funding Rate, measuring long/short bias in perpetual contracts; (2) Long/Short Ratio of top traders; (3) Taker Buy/Sell Ratio, measuring aggressive order flow; (4) Open Interest, measuring total leveraged positions.</w:t>
      </w:r>
    </w:p>
    <w:p>
      <w:pPr>
        <w:pStyle w:val="Heading2"/>
        <w:spacing w:after="160" w:before="280"/>
      </w:pPr>
      <w:r>
        <w:rPr>
          <w:rFonts w:ascii="Times New Roman" w:cs="Times New Roman" w:eastAsia="Times New Roman" w:hAnsi="Times New Roman"/>
          <w:b/>
          <w:bCs/>
          <w:sz w:val="24"/>
          <w:szCs w:val="24"/>
        </w:rPr>
        <w:t xml:space="preserve">3.4 Q-Learning Experiment</w:t>
      </w:r>
    </w:p>
    <w:p>
      <w:pPr>
        <w:spacing w:after="80" w:before="80" w:line="360"/>
        <w:ind w:firstLine="400"/>
        <w:jc w:val="both"/>
      </w:pPr>
      <w:r>
        <w:rPr>
          <w:rFonts w:ascii="Times New Roman" w:cs="Times New Roman" w:eastAsia="Times New Roman" w:hAnsi="Times New Roman"/>
          <w:sz w:val="22"/>
          <w:szCs w:val="22"/>
        </w:rPr>
        <w:t xml:space="preserve">We define a 12-state space (3 regimes x 2 volatility levels x 2 momentum directions) and 4 actions (conservative, moderate, aggressive, golden_zone). The reward function is risk-adjusted return (return minus max drawdown penalty). Training: learning rate=0.1, discount=0.95, epsilon 1.0 to 0.1 decay. We train on 3 assets x 6 in-sample periods (15 rounds, 270 episodes) and test on 2 out-of-sample periods.</w:t>
      </w:r>
    </w:p>
    <w:p>
      <w:pPr>
        <w:pStyle w:val="Heading2"/>
        <w:spacing w:after="160" w:before="280"/>
      </w:pPr>
      <w:r>
        <w:rPr>
          <w:rFonts w:ascii="Times New Roman" w:cs="Times New Roman" w:eastAsia="Times New Roman" w:hAnsi="Times New Roman"/>
          <w:b/>
          <w:bCs/>
          <w:sz w:val="24"/>
          <w:szCs w:val="24"/>
        </w:rPr>
        <w:t xml:space="preserve">3.5 Sentiment Analysis Experiment</w:t>
      </w:r>
    </w:p>
    <w:p>
      <w:pPr>
        <w:spacing w:after="80" w:before="80" w:line="360"/>
        <w:ind w:firstLine="400"/>
        <w:jc w:val="both"/>
      </w:pPr>
      <w:r>
        <w:rPr>
          <w:rFonts w:ascii="Times New Roman" w:cs="Times New Roman" w:eastAsia="Times New Roman" w:hAnsi="Times New Roman"/>
          <w:sz w:val="22"/>
          <w:szCs w:val="22"/>
        </w:rPr>
        <w:t xml:space="preserve">Using 2,973 days of Fear &amp; Greed Index historical data from Alternative.me, we implement two sentiment-augmented variants: V3_FG integrates the index into buy/sell conditions; V3_SENT additionally applies contrarian position sizing (1.5x) during extreme fear (index below 20). We conduct 3 assets x 8 periods = 24 experiments.</w:t>
      </w:r>
    </w:p>
    <w:p>
      <w:pPr>
        <w:pStyle w:val="Heading2"/>
        <w:spacing w:after="160" w:before="280"/>
      </w:pPr>
      <w:r>
        <w:rPr>
          <w:rFonts w:ascii="Times New Roman" w:cs="Times New Roman" w:eastAsia="Times New Roman" w:hAnsi="Times New Roman"/>
          <w:b/>
          <w:bCs/>
          <w:sz w:val="24"/>
          <w:szCs w:val="24"/>
        </w:rPr>
        <w:t xml:space="preserve">3.6 Statistical Methods</w:t>
      </w:r>
    </w:p>
    <w:p>
      <w:pPr>
        <w:spacing w:after="80" w:before="80" w:line="360"/>
        <w:ind w:firstLine="400"/>
        <w:jc w:val="both"/>
      </w:pPr>
      <w:r>
        <w:rPr>
          <w:rFonts w:ascii="Times New Roman" w:cs="Times New Roman" w:eastAsia="Times New Roman" w:hAnsi="Times New Roman"/>
          <w:sz w:val="22"/>
          <w:szCs w:val="22"/>
        </w:rPr>
        <w:t xml:space="preserve">We employ paired t-tests for inter-strategy performance comparison, one-sample t-tests for alpha significance, Cohen's d for effect size, and Bonferroni correction for multiple comparisons. Walk-Forward Efficiency (WFE) is computed as the ratio of out-of-sample to in-sample improvement.</w:t>
      </w:r>
    </w:p>
    <w:p>
      <w:r>
        <w:br w:type="page"/>
      </w:r>
    </w:p>
    <w:p>
      <w:pPr>
        <w:pStyle w:val="Heading1"/>
        <w:spacing w:after="200" w:before="360"/>
      </w:pPr>
      <w:r>
        <w:rPr>
          <w:rFonts w:ascii="Times New Roman" w:cs="Times New Roman" w:eastAsia="Times New Roman" w:hAnsi="Times New Roman"/>
          <w:b/>
          <w:bCs/>
          <w:sz w:val="28"/>
          <w:szCs w:val="28"/>
        </w:rPr>
        <w:t xml:space="preserve">4. Results</w:t>
      </w:r>
    </w:p>
    <w:p>
      <w:pPr>
        <w:pStyle w:val="Heading2"/>
        <w:spacing w:after="160" w:before="280"/>
      </w:pPr>
      <w:r>
        <w:rPr>
          <w:rFonts w:ascii="Times New Roman" w:cs="Times New Roman" w:eastAsia="Times New Roman" w:hAnsi="Times New Roman"/>
          <w:b/>
          <w:bCs/>
          <w:sz w:val="24"/>
          <w:szCs w:val="24"/>
        </w:rPr>
        <w:t xml:space="preserve">4.1 Aggregate Performance (n=80)</w:t>
      </w:r>
    </w:p>
    <w:p>
      <w:pPr>
        <w:spacing w:after="80" w:before="160"/>
        <w:jc w:val="center"/>
      </w:pPr>
      <w:r>
        <w:rPr>
          <w:rFonts w:ascii="Times New Roman" w:cs="Times New Roman" w:eastAsia="Times New Roman" w:hAnsi="Times New Roman"/>
          <w:b/>
          <w:bCs/>
          <w:sz w:val="20"/>
          <w:szCs w:val="20"/>
        </w:rPr>
        <w:t xml:space="preserve">Table 1: Aggregate Strategy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100"/>
        <w:gridCol w:w="1100"/>
        <w:gridCol w:w="1100"/>
        <w:gridCol w:w="1260"/>
      </w:tblGrid>
      <w:tr>
        <w:tc>
          <w:tcPr>
            <w:tcW w:type="dxa" w:w="1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Strategy</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Mean Return</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Mean Alpha</w:t>
            </w:r>
          </w:p>
        </w:tc>
        <w:tc>
          <w:tcPr>
            <w:tcW w:type="dxa" w:w="11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t-stat</w:t>
            </w:r>
          </w:p>
        </w:tc>
        <w:tc>
          <w:tcPr>
            <w:tcW w:type="dxa" w:w="11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11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Mean DD</w:t>
            </w:r>
          </w:p>
        </w:tc>
        <w:tc>
          <w:tcPr>
            <w:tcW w:type="dxa" w:w="126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Win Rate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V1 (Base)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-4.33%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-19.08%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-2.188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0.032**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6.0%</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38.4%</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V3 (Dual-Mode)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-17.52%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-2.041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8.6%</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50.1%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Buy &amp; Hold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+14.87%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1.695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0.094*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r>
    </w:tbl>
    <w:p>
      <w:pPr>
        <w:spacing w:after="80" w:before="80" w:line="360"/>
        <w:jc w:val="both"/>
      </w:pPr>
      <w:r>
        <w:rPr>
          <w:rFonts w:ascii="Times New Roman" w:cs="Times New Roman" w:eastAsia="Times New Roman" w:hAnsi="Times New Roman"/>
          <w:i/>
          <w:iCs/>
          <w:sz w:val="22"/>
          <w:szCs w:val="22"/>
        </w:rPr>
        <w:t xml:space="preserve">Notes: * p&lt;0.10, ** p&lt;0.05, *** p&lt;0.01. Alpha t-test is one-sample against zero.</w:t>
      </w:r>
    </w:p>
    <w:p>
      <w:pPr>
        <w:spacing w:after="80" w:before="80" w:line="360"/>
        <w:ind w:firstLine="400"/>
        <w:jc w:val="both"/>
      </w:pPr>
      <w:r>
        <w:rPr>
          <w:rFonts w:ascii="Times New Roman" w:cs="Times New Roman" w:eastAsia="Times New Roman" w:hAnsi="Times New Roman"/>
          <w:sz w:val="22"/>
          <w:szCs w:val="22"/>
        </w:rPr>
        <w:t xml:space="preserve">The improvement from V1 to V3 is statistically significant (paired t-test: t=2.061, p=0.043, Cohen's d=0.230). Mean returns improved from -4.33% to -2.76%, and win rate from 38.4% to 50.1%. However, V3's alpha remains significantly negative (t=-2.041, p=0.045), indicating that the algorithm alone cannot outperform Buy &amp; Hold after transaction costs.</w:t>
      </w:r>
    </w:p>
    <w:p>
      <w:pPr>
        <w:pStyle w:val="Heading2"/>
        <w:spacing w:after="160" w:before="280"/>
      </w:pPr>
      <w:r>
        <w:rPr>
          <w:rFonts w:ascii="Times New Roman" w:cs="Times New Roman" w:eastAsia="Times New Roman" w:hAnsi="Times New Roman"/>
          <w:b/>
          <w:bCs/>
          <w:sz w:val="24"/>
          <w:szCs w:val="24"/>
        </w:rPr>
        <w:t xml:space="preserve">4.2 Regime-Dependent Performance</w:t>
      </w:r>
    </w:p>
    <w:p>
      <w:pPr>
        <w:spacing w:after="80" w:before="160"/>
        <w:jc w:val="center"/>
      </w:pPr>
      <w:r>
        <w:rPr>
          <w:rFonts w:ascii="Times New Roman" w:cs="Times New Roman" w:eastAsia="Times New Roman" w:hAnsi="Times New Roman"/>
          <w:b/>
          <w:bCs/>
          <w:sz w:val="20"/>
          <w:szCs w:val="20"/>
        </w:rPr>
        <w:t xml:space="preserve">Table 2: V3 Alpha by Market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00"/>
        <w:gridCol w:w="1200"/>
        <w:gridCol w:w="1100"/>
        <w:gridCol w:w="1100"/>
        <w:gridCol w:w="1360"/>
      </w:tblGrid>
      <w:tr>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Period</w:t>
            </w:r>
          </w:p>
        </w:tc>
        <w:tc>
          <w:tcPr>
            <w:tcW w:type="dxa" w:w="11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Regime</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B&amp;H</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V3 Alpha</w:t>
            </w:r>
          </w:p>
        </w:tc>
        <w:tc>
          <w:tcPr>
            <w:tcW w:type="dxa" w:w="11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t-stat</w:t>
            </w:r>
          </w:p>
        </w:tc>
        <w:tc>
          <w:tcPr>
            <w:tcW w:type="dxa" w:w="11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136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Sig.</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Bear22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Bear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3.12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0.011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Bottom22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-8.7%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-1.47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0.171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Rally23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Bear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+6.3%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0.86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0.412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Flat23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+114.0%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-114.3%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0.025</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Bull24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-31.7%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-2.30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0.041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Bull24b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Bear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+21.7%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3.89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0.003</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Bull24c</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+60.2%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-63.6%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-1.92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0.079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Bear25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Bear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-43.6%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+31.2%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3.96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0.003</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w:t>
            </w:r>
          </w:p>
        </w:tc>
      </w:tr>
    </w:tbl>
    <w:p>
      <w:pPr>
        <w:spacing w:after="80" w:before="80" w:line="360"/>
        <w:ind w:firstLine="400"/>
        <w:jc w:val="both"/>
      </w:pPr>
      <w:r>
        <w:rPr>
          <w:rFonts w:ascii="Times New Roman" w:cs="Times New Roman" w:eastAsia="Times New Roman" w:hAnsi="Times New Roman"/>
          <w:sz w:val="22"/>
          <w:szCs w:val="22"/>
        </w:rPr>
        <w:t xml:space="preserve">The regime-dependent analysis reveals our central finding. In bear markets, V3 achieves statistically significant positive alpha (Bear22: +19.0%, p=0.011; Bull24b: +21.7%, p=0.003; Bear25: +31.2%, p=0.003). In bull markets, alpha is significantly negative (Flat23: -114.3%, p=0.025; Bull24: -31.7%, p=0.041). This asymmetry indicates that the algorithm is effective for downside risk management but fails to capture upward momentum.</w:t>
      </w:r>
    </w:p>
    <w:p>
      <w:pPr>
        <w:pStyle w:val="Heading2"/>
        <w:spacing w:after="160" w:before="280"/>
      </w:pPr>
      <w:r>
        <w:rPr>
          <w:rFonts w:ascii="Times New Roman" w:cs="Times New Roman" w:eastAsia="Times New Roman" w:hAnsi="Times New Roman"/>
          <w:b/>
          <w:bCs/>
          <w:sz w:val="24"/>
          <w:szCs w:val="24"/>
        </w:rPr>
        <w:t xml:space="preserve">4.3 Walk-Forward Validation</w:t>
      </w:r>
    </w:p>
    <w:p>
      <w:pPr>
        <w:spacing w:after="80" w:before="160"/>
        <w:jc w:val="center"/>
      </w:pPr>
      <w:r>
        <w:rPr>
          <w:rFonts w:ascii="Times New Roman" w:cs="Times New Roman" w:eastAsia="Times New Roman" w:hAnsi="Times New Roman"/>
          <w:b/>
          <w:bCs/>
          <w:sz w:val="20"/>
          <w:szCs w:val="20"/>
        </w:rPr>
        <w:t xml:space="preserve">Table 3: Walk-Forward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c>
          <w:tcPr>
            <w:tcW w:type="dxa" w:w="20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Sample</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V1</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V3</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Improvement</w:t>
            </w:r>
          </w:p>
        </w:tc>
        <w:tc>
          <w:tcPr>
            <w:tcW w:type="dxa" w:w="226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p-value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In-Sample (n=20)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-7.18%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-7.99%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-0.82%</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0.546 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Out-of-Sample (n=60)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-3.38%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-1.02%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+2.35%</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0.011**</w:t>
            </w:r>
          </w:p>
        </w:tc>
      </w:tr>
    </w:tbl>
    <w:p>
      <w:pPr>
        <w:spacing w:after="80" w:before="80" w:line="360"/>
        <w:ind w:firstLine="400"/>
        <w:jc w:val="both"/>
      </w:pPr>
      <w:r>
        <w:rPr>
          <w:rFonts w:ascii="Times New Roman" w:cs="Times New Roman" w:eastAsia="Times New Roman" w:hAnsi="Times New Roman"/>
          <w:sz w:val="22"/>
          <w:szCs w:val="22"/>
        </w:rPr>
        <w:t xml:space="preserve">A striking result is that V3 improvement is larger out-of-sample (+2.35%, p=0.011) than in-sample (-0.82%, n.s.). This inverse pattern provides strong evidence against overfitting: V3's core design principles (Golden Zone, Danger Zone blocking, minimum hold time) capture structural market properties rather than period-specific patterns. The design exploits the universal phenomenon of algorithmic crowding, which persists across assets and time periods.</w:t>
      </w:r>
    </w:p>
    <w:p>
      <w:pPr>
        <w:pStyle w:val="Heading2"/>
        <w:spacing w:after="160" w:before="280"/>
      </w:pPr>
      <w:r>
        <w:rPr>
          <w:rFonts w:ascii="Times New Roman" w:cs="Times New Roman" w:eastAsia="Times New Roman" w:hAnsi="Times New Roman"/>
          <w:b/>
          <w:bCs/>
          <w:sz w:val="24"/>
          <w:szCs w:val="24"/>
        </w:rPr>
        <w:t xml:space="preserve">4.4 Reinforcement Learning Results</w:t>
      </w:r>
    </w:p>
    <w:p>
      <w:pPr>
        <w:spacing w:after="80" w:before="160"/>
        <w:jc w:val="center"/>
      </w:pPr>
      <w:r>
        <w:rPr>
          <w:rFonts w:ascii="Times New Roman" w:cs="Times New Roman" w:eastAsia="Times New Roman" w:hAnsi="Times New Roman"/>
          <w:b/>
          <w:bCs/>
          <w:sz w:val="20"/>
          <w:szCs w:val="20"/>
        </w:rPr>
        <w:t xml:space="preserve">Table 4: Q-Learning Out-of-Sample Performance (n=6)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360"/>
      </w:tblGrid>
      <w:tr>
        <w:tc>
          <w:tcPr>
            <w:tcW w:type="dxa" w:w="1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Strategy</w:t>
            </w:r>
          </w:p>
        </w:tc>
        <w:tc>
          <w:tcPr>
            <w:tcW w:type="dxa" w:w="14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Mean Return</w:t>
            </w:r>
          </w:p>
        </w:tc>
        <w:tc>
          <w:tcPr>
            <w:tcW w:type="dxa" w:w="14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Mean Alpha</w:t>
            </w:r>
          </w:p>
        </w:tc>
        <w:tc>
          <w:tcPr>
            <w:tcW w:type="dxa" w:w="14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Sharpe</w:t>
            </w:r>
          </w:p>
        </w:tc>
        <w:tc>
          <w:tcPr>
            <w:tcW w:type="dxa" w:w="14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Max DD</w:t>
            </w:r>
          </w:p>
        </w:tc>
        <w:tc>
          <w:tcPr>
            <w:tcW w:type="dxa" w:w="136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Win Rate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Static V3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-3.55%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+4.56%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-0.720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7.1%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52.0%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Q-Learning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-5.09%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+3.02%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-1.030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7.3%</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51.9%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Buy &amp; Hold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-8.02%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r>
    </w:tbl>
    <w:p>
      <w:pPr>
        <w:spacing w:after="80" w:before="80" w:line="360"/>
        <w:ind w:firstLine="400"/>
        <w:jc w:val="both"/>
      </w:pPr>
      <w:r>
        <w:rPr>
          <w:rFonts w:ascii="Times New Roman" w:cs="Times New Roman" w:eastAsia="Times New Roman" w:hAnsi="Times New Roman"/>
          <w:sz w:val="22"/>
          <w:szCs w:val="22"/>
        </w:rPr>
        <w:t xml:space="preserve">Q-Learning failed to significantly outperform Static V3 (t=-1.473, p=0.201, Cohen's d=-0.602). However, the learned policy exhibits economically meaningful patterns: conservative action in bear/low-volatility states, golden_zone in sideways/high-volatility/down states, and aggressive in bull/high-volatility/down states (dip-buying). These selections align with expert trader intuition, suggesting that RL-based adaptation may become viable with richer state representations and longer training horizons.</w:t>
      </w:r>
    </w:p>
    <w:p>
      <w:pPr>
        <w:pStyle w:val="Heading2"/>
        <w:spacing w:after="160" w:before="280"/>
      </w:pPr>
      <w:r>
        <w:rPr>
          <w:rFonts w:ascii="Times New Roman" w:cs="Times New Roman" w:eastAsia="Times New Roman" w:hAnsi="Times New Roman"/>
          <w:b/>
          <w:bCs/>
          <w:sz w:val="24"/>
          <w:szCs w:val="24"/>
        </w:rPr>
        <w:t xml:space="preserve">4.5 Sentiment Analysis Results</w:t>
      </w:r>
    </w:p>
    <w:p>
      <w:pPr>
        <w:spacing w:after="80" w:before="160"/>
        <w:jc w:val="center"/>
      </w:pPr>
      <w:r>
        <w:rPr>
          <w:rFonts w:ascii="Times New Roman" w:cs="Times New Roman" w:eastAsia="Times New Roman" w:hAnsi="Times New Roman"/>
          <w:b/>
          <w:bCs/>
          <w:sz w:val="20"/>
          <w:szCs w:val="20"/>
        </w:rPr>
        <w:t xml:space="preserve">Table 5: Sentiment Integration Effect (n=24)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1200"/>
        <w:gridCol w:w="1360"/>
      </w:tblGrid>
      <w:tr>
        <w:tc>
          <w:tcPr>
            <w:tcW w:type="dxa" w:w="1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Strategy</w:t>
            </w:r>
          </w:p>
        </w:tc>
        <w:tc>
          <w:tcPr>
            <w:tcW w:type="dxa" w:w="14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Mean Return</w:t>
            </w:r>
          </w:p>
        </w:tc>
        <w:tc>
          <w:tcPr>
            <w:tcW w:type="dxa" w:w="14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vs BASE diff</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t-stat</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136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Cohen's 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V3_BASE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-2.63%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N/A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V3+F&amp;G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-3.19%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-1.151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0.262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-0.235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V3+Sentiment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-2.91%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-0.616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0.544</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0"/>
                <w:szCs w:val="20"/>
              </w:rPr>
              <w:t xml:space="preserve">-0.126</w:t>
            </w:r>
          </w:p>
        </w:tc>
      </w:tr>
    </w:tbl>
    <w:p>
      <w:pPr>
        <w:spacing w:after="80" w:before="80" w:line="360"/>
        <w:ind w:firstLine="400"/>
        <w:jc w:val="both"/>
      </w:pPr>
      <w:r>
        <w:rPr>
          <w:rFonts w:ascii="Times New Roman" w:cs="Times New Roman" w:eastAsia="Times New Roman" w:hAnsi="Times New Roman"/>
          <w:sz w:val="22"/>
          <w:szCs w:val="22"/>
        </w:rPr>
        <w:t xml:space="preserve">Neither the Fear &amp; Greed Index integration nor the extended sentiment weighting provided statistically significant improvements over V3. The prior hypothesis that sentiment would be more effective in bear markets was not supported (bear market improvement: -0.34%, p=0.671). This suggests substantial information overlap between the Fear &amp; Greed Index and technical indicators already employed in V3.</w:t>
      </w:r>
    </w:p>
    <w:p>
      <w:r>
        <w:br w:type="page"/>
      </w:r>
    </w:p>
    <w:p>
      <w:pPr>
        <w:pStyle w:val="Heading1"/>
        <w:spacing w:after="200" w:before="360"/>
      </w:pPr>
      <w:r>
        <w:rPr>
          <w:rFonts w:ascii="Times New Roman" w:cs="Times New Roman" w:eastAsia="Times New Roman" w:hAnsi="Times New Roman"/>
          <w:b/>
          <w:bCs/>
          <w:sz w:val="28"/>
          <w:szCs w:val="28"/>
        </w:rPr>
        <w:t xml:space="preserve">5. Discussion</w:t>
      </w:r>
    </w:p>
    <w:p>
      <w:pPr>
        <w:pStyle w:val="Heading2"/>
        <w:spacing w:after="160" w:before="280"/>
      </w:pPr>
      <w:r>
        <w:rPr>
          <w:rFonts w:ascii="Times New Roman" w:cs="Times New Roman" w:eastAsia="Times New Roman" w:hAnsi="Times New Roman"/>
          <w:b/>
          <w:bCs/>
          <w:sz w:val="24"/>
          <w:szCs w:val="24"/>
        </w:rPr>
        <w:t xml:space="preserve">5.1 Complex Systems Interpretation</w:t>
      </w:r>
    </w:p>
    <w:p>
      <w:pPr>
        <w:spacing w:after="80" w:before="80" w:line="360"/>
        <w:ind w:firstLine="400"/>
        <w:jc w:val="both"/>
      </w:pPr>
      <w:r>
        <w:rPr>
          <w:rFonts w:ascii="Times New Roman" w:cs="Times New Roman" w:eastAsia="Times New Roman" w:hAnsi="Times New Roman"/>
          <w:sz w:val="22"/>
          <w:szCs w:val="22"/>
        </w:rPr>
        <w:t xml:space="preserve">Our results empirically validate the cryptocurrency market's CAS characteristics. The sharp decline in V1 win rates when the trend score exceeds 55 reflects algorithmic crowding, where multiple bots responding to identical technical signals simultaneously compress profitable entry windows. This phenomenon aligns with Challet and Zhang's (2005) minority game theory, which predicts that majority strategies are systematically unprofitable while contrarian minority strategies gain an edge.</w:t>
      </w:r>
    </w:p>
    <w:p>
      <w:pPr>
        <w:spacing w:after="80" w:before="80" w:line="360"/>
        <w:ind w:firstLine="400"/>
        <w:jc w:val="both"/>
      </w:pPr>
      <w:r>
        <w:rPr>
          <w:rFonts w:ascii="Times New Roman" w:cs="Times New Roman" w:eastAsia="Times New Roman" w:hAnsi="Times New Roman"/>
          <w:sz w:val="22"/>
          <w:szCs w:val="22"/>
        </w:rPr>
        <w:t xml:space="preserve">V3's Golden Zone (trend score 30-55) represents the sweet spot: the market has begun forming a directional move, but the algorithmic crowd has not yet entered en masse. The statistical significance of this improvement (p=0.043) across 10 assets and 45 months suggests that algorithmic crowding is a persistent structural feature of cryptocurrency markets rather than a transient anomaly.</w:t>
      </w:r>
    </w:p>
    <w:p>
      <w:pPr>
        <w:spacing w:after="80" w:before="80" w:line="360"/>
        <w:ind w:firstLine="400"/>
        <w:jc w:val="both"/>
      </w:pPr>
      <w:r>
        <w:rPr>
          <w:rFonts w:ascii="Times New Roman" w:cs="Times New Roman" w:eastAsia="Times New Roman" w:hAnsi="Times New Roman"/>
          <w:sz w:val="22"/>
          <w:szCs w:val="22"/>
        </w:rPr>
        <w:t xml:space="preserve">The significantly negative overall alpha (p=0.045) is consistent with Farmer and Skouras's (2013) ecosystem dynamics model, where the proliferation of technical analysis-based algorithms creates self-referential dynamics that accelerate convergence toward the EMH equilibrium.</w:t>
      </w:r>
    </w:p>
    <w:p>
      <w:pPr>
        <w:pStyle w:val="Heading2"/>
        <w:spacing w:after="160" w:before="280"/>
      </w:pPr>
      <w:r>
        <w:rPr>
          <w:rFonts w:ascii="Times New Roman" w:cs="Times New Roman" w:eastAsia="Times New Roman" w:hAnsi="Times New Roman"/>
          <w:b/>
          <w:bCs/>
          <w:sz w:val="24"/>
          <w:szCs w:val="24"/>
        </w:rPr>
        <w:t xml:space="preserve">5.2 Reassessing the Efficient Market Hypothesis</w:t>
      </w:r>
    </w:p>
    <w:p>
      <w:pPr>
        <w:spacing w:after="80" w:before="80" w:line="360"/>
        <w:ind w:firstLine="400"/>
        <w:jc w:val="both"/>
      </w:pPr>
      <w:r>
        <w:rPr>
          <w:rFonts w:ascii="Times New Roman" w:cs="Times New Roman" w:eastAsia="Times New Roman" w:hAnsi="Times New Roman"/>
          <w:sz w:val="22"/>
          <w:szCs w:val="22"/>
        </w:rPr>
        <w:t xml:space="preserve">Our empirical evidence partially supports the semi-strong form of the EMH in cryptocurrency markets. The inability of algorithms based on public technical indicators to generate positive alpha net of transaction costs (p=0.045) is consistent with Fama's (1970) prediction. However, the asymmetric regime-dependent performance connects to the Grossman-Stiglitz (1980) information cost paradox: market efficiency is not uniform, and extreme conditions such as bear markets may temporarily increase inefficiency, creating alpha opportunities.</w:t>
      </w:r>
    </w:p>
    <w:p>
      <w:pPr>
        <w:spacing w:after="80" w:before="80" w:line="360"/>
        <w:ind w:firstLine="400"/>
        <w:jc w:val="both"/>
      </w:pPr>
      <w:r>
        <w:rPr>
          <w:rFonts w:ascii="Times New Roman" w:cs="Times New Roman" w:eastAsia="Times New Roman" w:hAnsi="Times New Roman"/>
          <w:sz w:val="22"/>
          <w:szCs w:val="22"/>
        </w:rPr>
        <w:t xml:space="preserve">This regime-dependent efficiency has practical implications: algorithmic strategies may be optimally deployed as conditional insurance rather than unconditional profit generators.</w:t>
      </w:r>
    </w:p>
    <w:p>
      <w:pPr>
        <w:pStyle w:val="Heading2"/>
        <w:spacing w:after="160" w:before="280"/>
      </w:pPr>
      <w:r>
        <w:rPr>
          <w:rFonts w:ascii="Times New Roman" w:cs="Times New Roman" w:eastAsia="Times New Roman" w:hAnsi="Times New Roman"/>
          <w:b/>
          <w:bCs/>
          <w:sz w:val="24"/>
          <w:szCs w:val="24"/>
        </w:rPr>
        <w:t xml:space="preserve">5.3 The Diminishing Returns of Technical Complexity</w:t>
      </w:r>
    </w:p>
    <w:p>
      <w:pPr>
        <w:spacing w:after="80" w:before="80" w:line="360"/>
        <w:ind w:firstLine="400"/>
        <w:jc w:val="both"/>
      </w:pPr>
      <w:r>
        <w:rPr>
          <w:rFonts w:ascii="Times New Roman" w:cs="Times New Roman" w:eastAsia="Times New Roman" w:hAnsi="Times New Roman"/>
          <w:sz w:val="22"/>
          <w:szCs w:val="22"/>
        </w:rPr>
        <w:t xml:space="preserve">A sobering finding is that neither Q-Learning reinforcement learning (p=0.20) nor sentiment analysis (p=0.54) significantly improved upon the base V3 strategy. This suggests a diminishing returns phenomenon: each additional layer of technical sophistication captures incrementally less marginal information. The Fear &amp; Greed Index likely shares substantial information content with RSI and volume, which are already employed in V3. Similarly, Q-Learning's 12-state discretization may be too coarse to capture the market's continuous dynamics.</w:t>
      </w:r>
    </w:p>
    <w:p>
      <w:pPr>
        <w:pStyle w:val="Heading2"/>
        <w:spacing w:after="160" w:before="280"/>
      </w:pPr>
      <w:r>
        <w:rPr>
          <w:rFonts w:ascii="Times New Roman" w:cs="Times New Roman" w:eastAsia="Times New Roman" w:hAnsi="Times New Roman"/>
          <w:b/>
          <w:bCs/>
          <w:sz w:val="24"/>
          <w:szCs w:val="24"/>
        </w:rPr>
        <w:t xml:space="preserve">5.4 Human-AI Collaborative Framework</w:t>
      </w:r>
    </w:p>
    <w:p>
      <w:pPr>
        <w:spacing w:after="80" w:before="80" w:line="360"/>
        <w:ind w:firstLine="400"/>
        <w:jc w:val="both"/>
      </w:pPr>
      <w:r>
        <w:rPr>
          <w:rFonts w:ascii="Times New Roman" w:cs="Times New Roman" w:eastAsia="Times New Roman" w:hAnsi="Times New Roman"/>
          <w:sz w:val="22"/>
          <w:szCs w:val="22"/>
        </w:rPr>
        <w:t xml:space="preserve">Synthesizing our results, we propose that the optimal investment strategy combines human high-level judgment with algorithmic disciplined execution:</w:t>
      </w:r>
    </w:p>
    <w:p>
      <w:pPr>
        <w:spacing w:after="80" w:before="80" w:line="360"/>
        <w:ind w:firstLine="400"/>
        <w:jc w:val="both"/>
      </w:pPr>
      <w:r>
        <w:rPr>
          <w:rFonts w:ascii="Times New Roman" w:cs="Times New Roman" w:eastAsia="Times New Roman" w:hAnsi="Times New Roman"/>
          <w:sz w:val="22"/>
          <w:szCs w:val="22"/>
        </w:rPr>
        <w:t xml:space="preserve">Human role: (1) macroeconomic regime assessment, (2) geopolitical risk evaluation, (3) position size ceiling decisions, (4) algorithm activation/deactivation</w:t>
      </w:r>
    </w:p>
    <w:p>
      <w:pPr>
        <w:spacing w:after="80" w:before="80" w:line="360"/>
        <w:ind w:firstLine="400"/>
        <w:jc w:val="both"/>
      </w:pPr>
      <w:r>
        <w:rPr>
          <w:rFonts w:ascii="Times New Roman" w:cs="Times New Roman" w:eastAsia="Times New Roman" w:hAnsi="Times New Roman"/>
          <w:sz w:val="22"/>
          <w:szCs w:val="22"/>
        </w:rPr>
        <w:t xml:space="preserve">AI/Algorithm role: (1) precise entry/exit timing, (2) disciplined stop-loss/take-profit execution, (3) 24/7 market monitoring, (4) emotion-free decision execution</w:t>
      </w:r>
    </w:p>
    <w:p>
      <w:pPr>
        <w:spacing w:after="80" w:before="80" w:line="360"/>
        <w:ind w:firstLine="400"/>
        <w:jc w:val="both"/>
      </w:pPr>
      <w:r>
        <w:rPr>
          <w:rFonts w:ascii="Times New Roman" w:cs="Times New Roman" w:eastAsia="Times New Roman" w:hAnsi="Times New Roman"/>
          <w:sz w:val="22"/>
          <w:szCs w:val="22"/>
        </w:rPr>
        <w:t xml:space="preserve">In this framework, humans decide 'when to play the game' while algorithms determine 'how to play within the game.' Based on our data, a hybrid strategy activating the algorithm only during human-identified bear/sideways periods and defaulting to Buy &amp; Hold during bull markets theoretically approaches optimality.</w:t>
      </w:r>
    </w:p>
    <w:p>
      <w:pPr>
        <w:pStyle w:val="Heading1"/>
        <w:spacing w:after="200" w:before="360"/>
      </w:pPr>
      <w:r>
        <w:rPr>
          <w:rFonts w:ascii="Times New Roman" w:cs="Times New Roman" w:eastAsia="Times New Roman" w:hAnsi="Times New Roman"/>
          <w:b/>
          <w:bCs/>
          <w:sz w:val="28"/>
          <w:szCs w:val="28"/>
        </w:rPr>
        <w:t xml:space="preserve">6. Conclusion</w:t>
      </w:r>
    </w:p>
    <w:p>
      <w:pPr>
        <w:spacing w:after="80" w:before="80" w:line="360"/>
        <w:ind w:firstLine="400"/>
        <w:jc w:val="both"/>
      </w:pPr>
      <w:r>
        <w:rPr>
          <w:rFonts w:ascii="Times New Roman" w:cs="Times New Roman" w:eastAsia="Times New Roman" w:hAnsi="Times New Roman"/>
          <w:sz w:val="22"/>
          <w:szCs w:val="22"/>
        </w:rPr>
        <w:t xml:space="preserve">This study empirically investigates algorithmic cryptocurrency trading from a complex adaptive systems perspective through 80 backtesting experiments across 10 assets and 45 months. Our findings yield five principal conclusions.</w:t>
      </w:r>
    </w:p>
    <w:p>
      <w:pPr>
        <w:spacing w:after="80" w:before="80" w:line="360"/>
        <w:ind w:firstLine="400"/>
        <w:jc w:val="both"/>
      </w:pPr>
      <w:r>
        <w:rPr>
          <w:rFonts w:ascii="Times New Roman" w:cs="Times New Roman" w:eastAsia="Times New Roman" w:hAnsi="Times New Roman"/>
          <w:sz w:val="22"/>
          <w:szCs w:val="22"/>
        </w:rPr>
        <w:t xml:space="preserve">First, the dual-mode strategy (V3) achieves statistically significant improvement over the base strategy (p=0.043), but overall alpha remains significantly negative (p=0.045), supporting the semi-strong EMH in cryptocurrency markets.</w:t>
      </w:r>
    </w:p>
    <w:p>
      <w:pPr>
        <w:spacing w:after="80" w:before="80" w:line="360"/>
        <w:ind w:firstLine="400"/>
        <w:jc w:val="both"/>
      </w:pPr>
      <w:r>
        <w:rPr>
          <w:rFonts w:ascii="Times New Roman" w:cs="Times New Roman" w:eastAsia="Times New Roman" w:hAnsi="Times New Roman"/>
          <w:sz w:val="22"/>
          <w:szCs w:val="22"/>
        </w:rPr>
        <w:t xml:space="preserve">Second, the asymmetric regime-dependent performance (positive alpha in bear markets at p=0.003, negative in bull markets at p=0.025) indicates that algorithmic value lies in risk management rather than return maximization.</w:t>
      </w:r>
    </w:p>
    <w:p>
      <w:pPr>
        <w:spacing w:after="80" w:before="80" w:line="360"/>
        <w:ind w:firstLine="400"/>
        <w:jc w:val="both"/>
      </w:pPr>
      <w:r>
        <w:rPr>
          <w:rFonts w:ascii="Times New Roman" w:cs="Times New Roman" w:eastAsia="Times New Roman" w:hAnsi="Times New Roman"/>
          <w:sz w:val="22"/>
          <w:szCs w:val="22"/>
        </w:rPr>
        <w:t xml:space="preserve">Third, neither Q-Learning (p=0.20) nor sentiment analysis (p=0.54) provides significant marginal improvement, confirming diminishing returns to technical complexity.</w:t>
      </w:r>
    </w:p>
    <w:p>
      <w:pPr>
        <w:spacing w:after="80" w:before="80" w:line="360"/>
        <w:ind w:firstLine="400"/>
        <w:jc w:val="both"/>
      </w:pPr>
      <w:r>
        <w:rPr>
          <w:rFonts w:ascii="Times New Roman" w:cs="Times New Roman" w:eastAsia="Times New Roman" w:hAnsi="Times New Roman"/>
          <w:sz w:val="22"/>
          <w:szCs w:val="22"/>
        </w:rPr>
        <w:t xml:space="preserve">Fourth, walk-forward validation reveals greater improvement out-of-sample than in-sample (p=0.011), proving that the strategy's core design captures structural market properties rather than overfitted patterns.</w:t>
      </w:r>
    </w:p>
    <w:p>
      <w:pPr>
        <w:spacing w:after="80" w:before="80" w:line="360"/>
        <w:ind w:firstLine="400"/>
        <w:jc w:val="both"/>
      </w:pPr>
      <w:r>
        <w:rPr>
          <w:rFonts w:ascii="Times New Roman" w:cs="Times New Roman" w:eastAsia="Times New Roman" w:hAnsi="Times New Roman"/>
          <w:sz w:val="22"/>
          <w:szCs w:val="22"/>
        </w:rPr>
        <w:t xml:space="preserve">Fifth, we propose a human-AI collaborative framework where human regime judgment combined with algorithmic disciplined execution represents the optimal strategy configuration.</w:t>
      </w:r>
    </w:p>
    <w:p>
      <w:pPr>
        <w:pStyle w:val="Heading1"/>
        <w:spacing w:after="200" w:before="360"/>
      </w:pPr>
      <w:r>
        <w:rPr>
          <w:rFonts w:ascii="Times New Roman" w:cs="Times New Roman" w:eastAsia="Times New Roman" w:hAnsi="Times New Roman"/>
          <w:b/>
          <w:bCs/>
          <w:sz w:val="28"/>
          <w:szCs w:val="28"/>
        </w:rPr>
        <w:t xml:space="preserve">7. Limitations and Future Research</w:t>
      </w:r>
    </w:p>
    <w:p>
      <w:pPr>
        <w:spacing w:after="80" w:before="80" w:line="360"/>
        <w:ind w:firstLine="400"/>
        <w:jc w:val="both"/>
      </w:pPr>
      <w:r>
        <w:rPr>
          <w:rFonts w:ascii="Times New Roman" w:cs="Times New Roman" w:eastAsia="Times New Roman" w:hAnsi="Times New Roman"/>
          <w:sz w:val="22"/>
          <w:szCs w:val="22"/>
        </w:rPr>
        <w:t xml:space="preserve">Several limitations constrain the generalizability of our findings. First, all experiments were conducted via backtesting simulation; real-world slippage, partial fills, and execution latency are not captured by our 0.1% fixed fee assumption. Second, Q-Learning's 12-state space is restrictive; deep reinforcement learning (PPO, SAC) with continuous action spaces may yield different results. Third, sentiment analysis relied solely on the aggregate Fear &amp; Greed Index rather than fine-grained individual news events.</w:t>
      </w:r>
    </w:p>
    <w:p>
      <w:pPr>
        <w:spacing w:after="80" w:before="80" w:line="360"/>
        <w:ind w:firstLine="400"/>
        <w:jc w:val="both"/>
      </w:pPr>
      <w:r>
        <w:rPr>
          <w:rFonts w:ascii="Times New Roman" w:cs="Times New Roman" w:eastAsia="Times New Roman" w:hAnsi="Times New Roman"/>
          <w:sz w:val="22"/>
          <w:szCs w:val="22"/>
        </w:rPr>
        <w:t xml:space="preserve">Future research directions include: (1) deep reinforcement learning with continuous action spaces and neural network function approximation; (2) NLP-based individual news event sentiment analysis; (3) systematic integration of on-chain data (whale wallet tracking, exchange fund flows); and (4) live paper trading validation preceding real-money deployment.</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40" w:before="40" w:line="300"/>
        <w:ind w:left="400" w:hanging="400"/>
      </w:pPr>
      <w:r>
        <w:rPr>
          <w:rFonts w:ascii="Times New Roman" w:cs="Times New Roman" w:eastAsia="Times New Roman" w:hAnsi="Times New Roman"/>
          <w:sz w:val="20"/>
          <w:szCs w:val="20"/>
        </w:rPr>
        <w:t xml:space="preserve">Alternative.me. (2024). Crypto Fear &amp; Greed Index. Retrieved from https://alternative.me/crypto/fear-and-greed-index/</w:t>
      </w:r>
    </w:p>
    <w:p>
      <w:pPr>
        <w:spacing w:after="40" w:before="40" w:line="300"/>
        <w:ind w:left="400" w:hanging="400"/>
      </w:pPr>
      <w:r>
        <w:rPr>
          <w:rFonts w:ascii="Times New Roman" w:cs="Times New Roman" w:eastAsia="Times New Roman" w:hAnsi="Times New Roman"/>
          <w:sz w:val="20"/>
          <w:szCs w:val="20"/>
        </w:rPr>
        <w:t xml:space="preserve">Appel, G. (1979). The Moving Average Convergence-Divergence Trading Method. Signalert Corporation.</w:t>
      </w:r>
    </w:p>
    <w:p>
      <w:pPr>
        <w:spacing w:after="40" w:before="40" w:line="300"/>
        <w:ind w:left="400" w:hanging="400"/>
      </w:pPr>
      <w:r>
        <w:rPr>
          <w:rFonts w:ascii="Times New Roman" w:cs="Times New Roman" w:eastAsia="Times New Roman" w:hAnsi="Times New Roman"/>
          <w:sz w:val="20"/>
          <w:szCs w:val="20"/>
        </w:rPr>
        <w:t xml:space="preserve">Arthur, W. B. (1999). Complexity and the Economy. Science, 284(5411), 107-109.</w:t>
      </w:r>
    </w:p>
    <w:p>
      <w:pPr>
        <w:spacing w:after="40" w:before="40" w:line="300"/>
        <w:ind w:left="400" w:hanging="400"/>
      </w:pPr>
      <w:r>
        <w:rPr>
          <w:rFonts w:ascii="Times New Roman" w:cs="Times New Roman" w:eastAsia="Times New Roman" w:hAnsi="Times New Roman"/>
          <w:sz w:val="20"/>
          <w:szCs w:val="20"/>
        </w:rPr>
        <w:t xml:space="preserve">Bollinger, J. (2002). Bollinger on Bollinger Bands. McGraw-Hill.</w:t>
      </w:r>
    </w:p>
    <w:p>
      <w:pPr>
        <w:spacing w:after="40" w:before="40" w:line="300"/>
        <w:ind w:left="400" w:hanging="400"/>
      </w:pPr>
      <w:r>
        <w:rPr>
          <w:rFonts w:ascii="Times New Roman" w:cs="Times New Roman" w:eastAsia="Times New Roman" w:hAnsi="Times New Roman"/>
          <w:sz w:val="20"/>
          <w:szCs w:val="20"/>
        </w:rPr>
        <w:t xml:space="preserve">Bollen, J., Mao, H., &amp; Zeng, X. (2011). Twitter mood predicts the stock market. Journal of Computational Science, 2(1), 1-8.</w:t>
      </w:r>
    </w:p>
    <w:p>
      <w:pPr>
        <w:spacing w:after="40" w:before="40" w:line="300"/>
        <w:ind w:left="400" w:hanging="400"/>
      </w:pPr>
      <w:r>
        <w:rPr>
          <w:rFonts w:ascii="Times New Roman" w:cs="Times New Roman" w:eastAsia="Times New Roman" w:hAnsi="Times New Roman"/>
          <w:sz w:val="20"/>
          <w:szCs w:val="20"/>
        </w:rPr>
        <w:t xml:space="preserve">Bouchaud, J. P. (2008). Economics needs a scientific revolution. Nature, 455(7217), 1181.</w:t>
      </w:r>
    </w:p>
    <w:p>
      <w:pPr>
        <w:spacing w:after="40" w:before="40" w:line="300"/>
        <w:ind w:left="400" w:hanging="400"/>
      </w:pPr>
      <w:r>
        <w:rPr>
          <w:rFonts w:ascii="Times New Roman" w:cs="Times New Roman" w:eastAsia="Times New Roman" w:hAnsi="Times New Roman"/>
          <w:sz w:val="20"/>
          <w:szCs w:val="20"/>
        </w:rPr>
        <w:t xml:space="preserve">Challet, D., &amp; Zhang, Y. C. (2005). Minority Games: Interacting Agents in Financial Markets. Oxford University Press.</w:t>
      </w:r>
    </w:p>
    <w:p>
      <w:pPr>
        <w:spacing w:after="40" w:before="40" w:line="300"/>
        <w:ind w:left="400" w:hanging="400"/>
      </w:pPr>
      <w:r>
        <w:rPr>
          <w:rFonts w:ascii="Times New Roman" w:cs="Times New Roman" w:eastAsia="Times New Roman" w:hAnsi="Times New Roman"/>
          <w:sz w:val="20"/>
          <w:szCs w:val="20"/>
        </w:rPr>
        <w:t xml:space="preserve">CoinMarketCap. (2024). Global Cryptocurrency Market Cap. Retrieved from https://coinmarketcap.com/</w:t>
      </w:r>
    </w:p>
    <w:p>
      <w:pPr>
        <w:spacing w:after="40" w:before="40" w:line="300"/>
        <w:ind w:left="400" w:hanging="400"/>
      </w:pPr>
      <w:r>
        <w:rPr>
          <w:rFonts w:ascii="Times New Roman" w:cs="Times New Roman" w:eastAsia="Times New Roman" w:hAnsi="Times New Roman"/>
          <w:sz w:val="20"/>
          <w:szCs w:val="20"/>
        </w:rPr>
        <w:t xml:space="preserve">Fama, E. F. (1970). Efficient Capital Markets: A Review of Theory and Empirical Work. The Journal of Finance, 25(2), 383-417.</w:t>
      </w:r>
    </w:p>
    <w:p>
      <w:pPr>
        <w:spacing w:after="40" w:before="40" w:line="300"/>
        <w:ind w:left="400" w:hanging="400"/>
      </w:pPr>
      <w:r>
        <w:rPr>
          <w:rFonts w:ascii="Times New Roman" w:cs="Times New Roman" w:eastAsia="Times New Roman" w:hAnsi="Times New Roman"/>
          <w:sz w:val="20"/>
          <w:szCs w:val="20"/>
        </w:rPr>
        <w:t xml:space="preserve">Farmer, J. D., &amp; Skouras, S. (2013). An ecological perspective on the future of computer trading. Quantitative Finance, 13(3), 325-346.</w:t>
      </w:r>
    </w:p>
    <w:p>
      <w:pPr>
        <w:spacing w:after="40" w:before="40" w:line="300"/>
        <w:ind w:left="400" w:hanging="400"/>
      </w:pPr>
      <w:r>
        <w:rPr>
          <w:rFonts w:ascii="Times New Roman" w:cs="Times New Roman" w:eastAsia="Times New Roman" w:hAnsi="Times New Roman"/>
          <w:sz w:val="20"/>
          <w:szCs w:val="20"/>
        </w:rPr>
        <w:t xml:space="preserve">Fischer, T. G. (2018). Reinforcement learning in financial markets - a survey. FAU Discussion Papers in Economics, No. 12/2018.</w:t>
      </w:r>
    </w:p>
    <w:p>
      <w:pPr>
        <w:spacing w:after="40" w:before="40" w:line="300"/>
        <w:ind w:left="400" w:hanging="400"/>
      </w:pPr>
      <w:r>
        <w:rPr>
          <w:rFonts w:ascii="Times New Roman" w:cs="Times New Roman" w:eastAsia="Times New Roman" w:hAnsi="Times New Roman"/>
          <w:sz w:val="20"/>
          <w:szCs w:val="20"/>
        </w:rPr>
        <w:t xml:space="preserve">Grossman, S. J., &amp; Stiglitz, J. E. (1980). On the Impossibility of Informationally Efficient Markets. American Economic Review, 70(3), 393-408.</w:t>
      </w:r>
    </w:p>
    <w:p>
      <w:pPr>
        <w:spacing w:after="40" w:before="40" w:line="300"/>
        <w:ind w:left="400" w:hanging="400"/>
      </w:pPr>
      <w:r>
        <w:rPr>
          <w:rFonts w:ascii="Times New Roman" w:cs="Times New Roman" w:eastAsia="Times New Roman" w:hAnsi="Times New Roman"/>
          <w:sz w:val="20"/>
          <w:szCs w:val="20"/>
        </w:rPr>
        <w:t xml:space="preserve">Holland, J. H. (1992). Adaptation in Natural and Artificial Systems. MIT Press.</w:t>
      </w:r>
    </w:p>
    <w:p>
      <w:pPr>
        <w:spacing w:after="40" w:before="40" w:line="300"/>
        <w:ind w:left="400" w:hanging="400"/>
      </w:pPr>
      <w:r>
        <w:rPr>
          <w:rFonts w:ascii="Times New Roman" w:cs="Times New Roman" w:eastAsia="Times New Roman" w:hAnsi="Times New Roman"/>
          <w:sz w:val="20"/>
          <w:szCs w:val="20"/>
        </w:rPr>
        <w:t xml:space="preserve">Hudson, R., &amp; Urquhart, A. (2021). Technical trading and cryptocurrencies. Annals of Operations Research, 297(1), 191-220.</w:t>
      </w:r>
    </w:p>
    <w:p>
      <w:pPr>
        <w:spacing w:after="40" w:before="40" w:line="300"/>
        <w:ind w:left="400" w:hanging="400"/>
      </w:pPr>
      <w:r>
        <w:rPr>
          <w:rFonts w:ascii="Times New Roman" w:cs="Times New Roman" w:eastAsia="Times New Roman" w:hAnsi="Times New Roman"/>
          <w:sz w:val="20"/>
          <w:szCs w:val="20"/>
        </w:rPr>
        <w:t xml:space="preserve">Jiang, Z., Xu, D., &amp; Liang, J. (2017). A deep reinforcement learning framework for the financial portfolio management problem. arXiv preprint arXiv:1706.10059.</w:t>
      </w:r>
    </w:p>
    <w:p>
      <w:pPr>
        <w:spacing w:after="40" w:before="40" w:line="300"/>
        <w:ind w:left="400" w:hanging="400"/>
      </w:pPr>
      <w:r>
        <w:rPr>
          <w:rFonts w:ascii="Times New Roman" w:cs="Times New Roman" w:eastAsia="Times New Roman" w:hAnsi="Times New Roman"/>
          <w:sz w:val="20"/>
          <w:szCs w:val="20"/>
        </w:rPr>
        <w:t xml:space="preserve">Kahneman, D., &amp; Tversky, A. (1979). Prospect Theory: An Analysis of Decision under Risk. Econometrica, 47(2), 263-292.</w:t>
      </w:r>
    </w:p>
    <w:p>
      <w:pPr>
        <w:spacing w:after="40" w:before="40" w:line="300"/>
        <w:ind w:left="400" w:hanging="400"/>
      </w:pPr>
      <w:r>
        <w:rPr>
          <w:rFonts w:ascii="Times New Roman" w:cs="Times New Roman" w:eastAsia="Times New Roman" w:hAnsi="Times New Roman"/>
          <w:sz w:val="20"/>
          <w:szCs w:val="20"/>
        </w:rPr>
        <w:t xml:space="preserve">Kristoufek, L. (2015). What are the main drivers of the Bitcoin price? Evidence from wavelet coherence analysis. PLoS ONE, 10(4), e0123923.</w:t>
      </w:r>
    </w:p>
    <w:p>
      <w:pPr>
        <w:spacing w:after="40" w:before="40" w:line="300"/>
        <w:ind w:left="400" w:hanging="400"/>
      </w:pPr>
      <w:r>
        <w:rPr>
          <w:rFonts w:ascii="Times New Roman" w:cs="Times New Roman" w:eastAsia="Times New Roman" w:hAnsi="Times New Roman"/>
          <w:sz w:val="20"/>
          <w:szCs w:val="20"/>
        </w:rPr>
        <w:t xml:space="preserve">Malkiel, B. G. (2003). The Efficient Market Hypothesis and Its Critics. Journal of Economic Perspectives, 17(1), 59-82.</w:t>
      </w:r>
    </w:p>
    <w:p>
      <w:pPr>
        <w:spacing w:after="40" w:before="40" w:line="300"/>
        <w:ind w:left="400" w:hanging="400"/>
      </w:pPr>
      <w:r>
        <w:rPr>
          <w:rFonts w:ascii="Times New Roman" w:cs="Times New Roman" w:eastAsia="Times New Roman" w:hAnsi="Times New Roman"/>
          <w:sz w:val="20"/>
          <w:szCs w:val="20"/>
        </w:rPr>
        <w:t xml:space="preserve">Nadarajah, S., &amp; Chu, J. (2017). On the inefficiency of Bitcoin. Economics Letters, 150, 6-9.</w:t>
      </w:r>
    </w:p>
    <w:p>
      <w:pPr>
        <w:spacing w:after="40" w:before="40" w:line="300"/>
        <w:ind w:left="400" w:hanging="400"/>
      </w:pPr>
      <w:r>
        <w:rPr>
          <w:rFonts w:ascii="Times New Roman" w:cs="Times New Roman" w:eastAsia="Times New Roman" w:hAnsi="Times New Roman"/>
          <w:sz w:val="20"/>
          <w:szCs w:val="20"/>
        </w:rPr>
        <w:t xml:space="preserve">Sutton, R. S., &amp; Barto, A. G. (2018). Reinforcement Learning: An Introduction (2nd ed.). MIT Press.</w:t>
      </w:r>
    </w:p>
    <w:p>
      <w:pPr>
        <w:spacing w:after="40" w:before="40" w:line="300"/>
        <w:ind w:left="400" w:hanging="400"/>
      </w:pPr>
      <w:r>
        <w:rPr>
          <w:rFonts w:ascii="Times New Roman" w:cs="Times New Roman" w:eastAsia="Times New Roman" w:hAnsi="Times New Roman"/>
          <w:sz w:val="20"/>
          <w:szCs w:val="20"/>
        </w:rPr>
        <w:t xml:space="preserve">Tran, V. L., &amp; Leirvik, T. (2020). Efficiency in the markets of crypto-currencies. Finance Research Letters, 35, 101382.</w:t>
      </w:r>
    </w:p>
    <w:p>
      <w:pPr>
        <w:spacing w:after="40" w:before="40" w:line="300"/>
        <w:ind w:left="400" w:hanging="400"/>
      </w:pPr>
      <w:r>
        <w:rPr>
          <w:rFonts w:ascii="Times New Roman" w:cs="Times New Roman" w:eastAsia="Times New Roman" w:hAnsi="Times New Roman"/>
          <w:sz w:val="20"/>
          <w:szCs w:val="20"/>
        </w:rPr>
        <w:t xml:space="preserve">Urquhart, A. (2016). The inefficiency of Bitcoin. Economics Letters, 148, 80-82.</w:t>
      </w:r>
    </w:p>
    <w:p>
      <w:pPr>
        <w:spacing w:after="40" w:before="40" w:line="300"/>
        <w:ind w:left="400" w:hanging="400"/>
      </w:pPr>
      <w:r>
        <w:rPr>
          <w:rFonts w:ascii="Times New Roman" w:cs="Times New Roman" w:eastAsia="Times New Roman" w:hAnsi="Times New Roman"/>
          <w:sz w:val="20"/>
          <w:szCs w:val="20"/>
        </w:rPr>
        <w:t xml:space="preserve">Watkins, C. J. C. H., &amp; Dayan, P. (1992). Q-learning. Machine Learning, 8(3-4), 279-292.</w:t>
      </w:r>
    </w:p>
    <w:p>
      <w:pPr>
        <w:spacing w:after="40" w:before="40" w:line="300"/>
        <w:ind w:left="400" w:hanging="400"/>
      </w:pPr>
      <w:r>
        <w:rPr>
          <w:rFonts w:ascii="Times New Roman" w:cs="Times New Roman" w:eastAsia="Times New Roman" w:hAnsi="Times New Roman"/>
          <w:sz w:val="20"/>
          <w:szCs w:val="20"/>
        </w:rPr>
        <w:t xml:space="preserve">Wilder, J. W. (1978). New Concepts in Technical Trading Systems. Trend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Adaptive Limits of Algorithmic Cryptocurrency Trading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2026-03-27T03:53:02.692Z</dcterms:created>
  <dcterms:modified xsi:type="dcterms:W3CDTF">2026-03-27T03:53:02.696Z</dcterms:modified>
</cp:coreProperties>
</file>

<file path=docProps/custom.xml><?xml version="1.0" encoding="utf-8"?>
<Properties xmlns="http://schemas.openxmlformats.org/officeDocument/2006/custom-properties" xmlns:vt="http://schemas.openxmlformats.org/officeDocument/2006/docPropsVTypes"/>
</file>