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Estado del Arte - Sistemas de Gestión de Inventario y Ventas para Ferreterías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Actualmente las pequeñas y medianas ferreterías enfrentan problemas asociados a la digitalización de inventarios, trazabilidad de ventas y automatización operativa. Muchas operaciones continúan realizándose manualmente mediante cuadernos, agendas y registros físicos.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Las tendencias modernas se orientan hacia sistemas Local First capaces de operar incluso sin conexión a internet, sincronizando posteriormente la información con servicios cloud. Este enfoque es especialmente relevante para negocios pequeños donde la conectividad puede ser inestable y la continuidad operacional es crítica.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 el mercado actual predominan soluciones ERP complejas diseñadas para grandes empresas. Sin embargo, estas soluciones suelen presentar altos costos, complejidad excesiva y flujos poco adaptados a negocios familiares o pequeños comercios.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Las tecnologías web modernas permiten desarrollar aplicaciones progresivas (PWA) capaces de comportarse como aplicaciones de escritorio tradicionales, incorporando persistencia local mediante IndexedDB y sincronización cloud mediante servicios Backend-as-a-Service como Supabase.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 arquitectura seleccionada para FERROMAT utiliza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5c99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React 19, Vite</w:t>
      </w:r>
      <w:r w:rsidDel="00000000" w:rsidR="00000000" w:rsidRPr="00000000">
        <w:rPr>
          <w:rtl w:val="0"/>
        </w:rPr>
        <w:t xml:space="preserve">, PostgreSQL y Supabase debido a su equilibrio entre velocidad de desarrollo, escalabilidad y facilidad de mantenimiento.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sistema utilizará un modelo de inventario basado en movimientos en lugar de modificaciones directas de stock. Esto permitirá trazabilidad completa de ventas, ajustes y reposiciones.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Además, el sistema contempla soporte para distintos tipos de unidades de venta:</w:t>
        <w:br w:type="textWrapping"/>
        <w:t xml:space="preserve">- Unidad</w:t>
        <w:br w:type="textWrapping"/>
        <w:t xml:space="preserve">- Metro</w:t>
        <w:br w:type="textWrapping"/>
        <w:t xml:space="preserve">- Kilo</w:t>
        <w:br w:type="textWrapping"/>
        <w:t xml:space="preserve">- Caja</w:t>
        <w:br w:type="textWrapping"/>
        <w:t xml:space="preserve">- Paquete</w:t>
        <w:br w:type="textWrapping"/>
        <w:t xml:space="preserve">- Bolsa</w:t>
        <w:br w:type="textWrapping"/>
        <w:br w:type="textWrapping"/>
        <w:t xml:space="preserve">Este aspecto representa uno de los principales desafíos técnicos del proyecto.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 uso de PWA y almacenamiento local mediante Dexie.js permitirá continuidad operacional incluso ante cortes de internet, característica crítica para el funcionamiento diario de la ferretería.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oxf9gQI0gPAh7SSeOO38wNMVEQ==">CgMxLjA4AHIhMTBQeElWTFBJbjdqdFBoLThuYk9yRnJKZm1XSnkzS1RI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