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黑体" w:hAnsi="黑体" w:eastAsia="黑体"/>
          <w:b/>
          <w:color w:val="1F4E79"/>
          <w:sz w:val="48"/>
        </w:rPr>
        <w:t>14003故障分类模型</w:t>
        <w:br/>
        <w:t>实测偏差分析报告</w:t>
      </w:r>
    </w:p>
    <w:p>
      <w:pPr>
        <w:spacing w:before="1800"/>
        <w:jc w:val="center"/>
      </w:pPr>
      <w:r>
        <w:rPr>
          <w:rFonts w:ascii="宋体" w:hAnsi="宋体" w:eastAsia="宋体"/>
          <w:sz w:val="28"/>
        </w:rPr>
        <w:t>分析对象：14003故障分类模型</w:t>
        <w:br/>
      </w:r>
      <w:r>
        <w:rPr>
          <w:rFonts w:ascii="宋体" w:hAnsi="宋体" w:eastAsia="宋体"/>
          <w:sz w:val="28"/>
        </w:rPr>
        <w:t>训练时间：2026年5月20日</w:t>
        <w:br/>
      </w:r>
      <w:r>
        <w:rPr>
          <w:rFonts w:ascii="宋体" w:hAnsi="宋体" w:eastAsia="宋体"/>
          <w:sz w:val="28"/>
        </w:rPr>
        <w:t>报告日期：2026年    月    日</w:t>
        <w:br/>
      </w:r>
    </w:p>
    <w:p>
      <w:r>
        <w:br w:type="page"/>
      </w:r>
    </w:p>
    <w:p>
      <w:pPr>
        <w:pStyle w:val="Heading1"/>
      </w:pPr>
      <w:r>
        <w:t>一、问题概述</w:t>
      </w:r>
    </w:p>
    <w:p>
      <w:pPr>
        <w:ind w:firstLine="420"/>
        <w:jc w:val="both"/>
      </w:pPr>
      <w:r>
        <w:t>14003故障分类模型完成训练后进入现场实测。模型在训练阶段的五折交叉验证准确率约为89%，但现场实测准确率仅为60%，两者相差约29.6个百分点，未达到预期应用效果。</w:t>
      </w:r>
    </w:p>
    <w:p>
      <w:pPr>
        <w:ind w:firstLine="420"/>
        <w:jc w:val="both"/>
      </w:pPr>
      <w:r>
        <w:t>由于相同训练流程和模型算法在其他故障分类任务中表现正常，初步判断本次偏差并非单纯由模型算法或训练程序异常导致。经与业务部门沟通并由其他领域专家复核，确认原有故障分类体系存在类别划分过细、部分类型边界模糊以及初始分类不准确等问题。因此，原14类分类方案调整为8类，并需要依据新的分类标准重新标注数据、训练模型和开展实测验证。</w:t>
      </w:r>
    </w:p>
    <w:p>
      <w:pPr>
        <w:pStyle w:val="Heading1"/>
      </w:pPr>
      <w:r>
        <w:t>二、训练及实测情况</w:t>
      </w:r>
    </w:p>
    <w:p>
      <w:pPr>
        <w:pStyle w:val="Heading2"/>
      </w:pPr>
      <w:r>
        <w:t>2.1 训练数据情况</w:t>
      </w:r>
    </w:p>
    <w:p>
      <w:pPr>
        <w:ind w:firstLine="420"/>
        <w:jc w:val="both"/>
      </w:pPr>
      <w:r>
        <w:t>根据2026年5月20日训练日志，本次训练数据基本情况如下。</w:t>
      </w:r>
    </w:p>
    <w:tbl>
      <w:tblPr>
        <w:tblStyle w:val="TableGrid"/>
        <w:tblW w:type="auto" w:w="0"/>
        <w:jc w:val="center"/>
        <w:tblLook w:firstColumn="1" w:firstRow="1" w:lastColumn="0" w:lastRow="0" w:noHBand="0" w:noVBand="1" w:val="04A0"/>
      </w:tblPr>
      <w:tblGrid>
        <w:gridCol w:w="4646"/>
        <w:gridCol w:w="4646"/>
      </w:tblGrid>
      <w:tr>
        <w:tc>
          <w:tcPr>
            <w:tcW w:type="dxa" w:w="2551"/>
            <w:vAlign w:val="center"/>
            <w:shd w:fill="1F4E79"/>
          </w:tcPr>
          <w:p>
            <w:pPr>
              <w:jc w:val="center"/>
            </w:pPr>
            <w:r/>
            <w:r>
              <w:rPr>
                <w:rFonts w:ascii="宋体" w:hAnsi="宋体" w:eastAsia="宋体"/>
                <w:b/>
                <w:color w:val="FFFFFF"/>
                <w:sz w:val="20"/>
              </w:rPr>
              <w:t>项目</w:t>
            </w:r>
          </w:p>
        </w:tc>
        <w:tc>
          <w:tcPr>
            <w:tcW w:type="dxa" w:w="5953"/>
            <w:vAlign w:val="center"/>
            <w:shd w:fill="1F4E79"/>
          </w:tcPr>
          <w:p>
            <w:pPr>
              <w:jc w:val="center"/>
            </w:pPr>
            <w:r/>
            <w:r>
              <w:rPr>
                <w:rFonts w:ascii="宋体" w:hAnsi="宋体" w:eastAsia="宋体"/>
                <w:b/>
                <w:color w:val="FFFFFF"/>
                <w:sz w:val="20"/>
              </w:rPr>
              <w:t>结果</w:t>
            </w:r>
          </w:p>
        </w:tc>
      </w:tr>
      <w:tr>
        <w:tc>
          <w:tcPr>
            <w:tcW w:type="dxa" w:w="2551"/>
            <w:vAlign w:val="center"/>
          </w:tcPr>
          <w:p>
            <w:pPr>
              <w:jc w:val="center"/>
            </w:pPr>
            <w:r/>
            <w:r>
              <w:rPr>
                <w:rFonts w:ascii="宋体" w:hAnsi="宋体" w:eastAsia="宋体"/>
                <w:b w:val="0"/>
                <w:sz w:val="20"/>
              </w:rPr>
              <w:t>数据集</w:t>
            </w:r>
          </w:p>
        </w:tc>
        <w:tc>
          <w:tcPr>
            <w:tcW w:type="dxa" w:w="5953"/>
            <w:vAlign w:val="center"/>
          </w:tcPr>
          <w:p>
            <w:pPr>
              <w:jc w:val="center"/>
            </w:pPr>
            <w:r/>
            <w:r>
              <w:rPr>
                <w:rFonts w:ascii="宋体" w:hAnsi="宋体" w:eastAsia="宋体"/>
                <w:b w:val="0"/>
                <w:sz w:val="20"/>
              </w:rPr>
              <w:t>14003</w:t>
            </w:r>
          </w:p>
        </w:tc>
      </w:tr>
      <w:tr>
        <w:tc>
          <w:tcPr>
            <w:tcW w:type="dxa" w:w="2551"/>
            <w:vAlign w:val="center"/>
            <w:shd w:fill="DDEBF7"/>
          </w:tcPr>
          <w:p>
            <w:pPr>
              <w:jc w:val="center"/>
            </w:pPr>
            <w:r/>
            <w:r>
              <w:rPr>
                <w:rFonts w:ascii="宋体" w:hAnsi="宋体" w:eastAsia="宋体"/>
                <w:b w:val="0"/>
                <w:sz w:val="20"/>
              </w:rPr>
              <w:t>样本数量</w:t>
            </w:r>
          </w:p>
        </w:tc>
        <w:tc>
          <w:tcPr>
            <w:tcW w:type="dxa" w:w="5953"/>
            <w:vAlign w:val="center"/>
            <w:shd w:fill="DDEBF7"/>
          </w:tcPr>
          <w:p>
            <w:pPr>
              <w:jc w:val="center"/>
            </w:pPr>
            <w:r/>
            <w:r>
              <w:rPr>
                <w:rFonts w:ascii="宋体" w:hAnsi="宋体" w:eastAsia="宋体"/>
                <w:b w:val="0"/>
                <w:sz w:val="20"/>
              </w:rPr>
              <w:t>1,153条</w:t>
            </w:r>
          </w:p>
        </w:tc>
      </w:tr>
      <w:tr>
        <w:tc>
          <w:tcPr>
            <w:tcW w:type="dxa" w:w="2551"/>
            <w:vAlign w:val="center"/>
          </w:tcPr>
          <w:p>
            <w:pPr>
              <w:jc w:val="center"/>
            </w:pPr>
            <w:r/>
            <w:r>
              <w:rPr>
                <w:rFonts w:ascii="宋体" w:hAnsi="宋体" w:eastAsia="宋体"/>
                <w:b w:val="0"/>
                <w:sz w:val="20"/>
              </w:rPr>
              <w:t>特征数量</w:t>
            </w:r>
          </w:p>
        </w:tc>
        <w:tc>
          <w:tcPr>
            <w:tcW w:type="dxa" w:w="5953"/>
            <w:vAlign w:val="center"/>
          </w:tcPr>
          <w:p>
            <w:pPr>
              <w:jc w:val="center"/>
            </w:pPr>
            <w:r/>
            <w:r>
              <w:rPr>
                <w:rFonts w:ascii="宋体" w:hAnsi="宋体" w:eastAsia="宋体"/>
                <w:b w:val="0"/>
                <w:sz w:val="20"/>
              </w:rPr>
              <w:t>569个</w:t>
            </w:r>
          </w:p>
        </w:tc>
      </w:tr>
      <w:tr>
        <w:tc>
          <w:tcPr>
            <w:tcW w:type="dxa" w:w="2551"/>
            <w:vAlign w:val="center"/>
            <w:shd w:fill="DDEBF7"/>
          </w:tcPr>
          <w:p>
            <w:pPr>
              <w:jc w:val="center"/>
            </w:pPr>
            <w:r/>
            <w:r>
              <w:rPr>
                <w:rFonts w:ascii="宋体" w:hAnsi="宋体" w:eastAsia="宋体"/>
                <w:b w:val="0"/>
                <w:sz w:val="20"/>
              </w:rPr>
              <w:t>交叉验证方式</w:t>
            </w:r>
          </w:p>
        </w:tc>
        <w:tc>
          <w:tcPr>
            <w:tcW w:type="dxa" w:w="5953"/>
            <w:vAlign w:val="center"/>
            <w:shd w:fill="DDEBF7"/>
          </w:tcPr>
          <w:p>
            <w:pPr>
              <w:jc w:val="center"/>
            </w:pPr>
            <w:r/>
            <w:r>
              <w:rPr>
                <w:rFonts w:ascii="宋体" w:hAnsi="宋体" w:eastAsia="宋体"/>
                <w:b w:val="0"/>
                <w:sz w:val="20"/>
              </w:rPr>
              <w:t>五折交叉验证</w:t>
            </w:r>
          </w:p>
        </w:tc>
      </w:tr>
      <w:tr>
        <w:tc>
          <w:tcPr>
            <w:tcW w:type="dxa" w:w="2551"/>
            <w:vAlign w:val="center"/>
          </w:tcPr>
          <w:p>
            <w:pPr>
              <w:jc w:val="center"/>
            </w:pPr>
            <w:r/>
            <w:r>
              <w:rPr>
                <w:rFonts w:ascii="宋体" w:hAnsi="宋体" w:eastAsia="宋体"/>
                <w:b w:val="0"/>
                <w:sz w:val="20"/>
              </w:rPr>
              <w:t>随机种子</w:t>
            </w:r>
          </w:p>
        </w:tc>
        <w:tc>
          <w:tcPr>
            <w:tcW w:type="dxa" w:w="5953"/>
            <w:vAlign w:val="center"/>
          </w:tcPr>
          <w:p>
            <w:pPr>
              <w:jc w:val="center"/>
            </w:pPr>
            <w:r/>
            <w:r>
              <w:rPr>
                <w:rFonts w:ascii="宋体" w:hAnsi="宋体" w:eastAsia="宋体"/>
                <w:b w:val="0"/>
                <w:sz w:val="20"/>
              </w:rPr>
              <w:t>123</w:t>
            </w:r>
          </w:p>
        </w:tc>
      </w:tr>
      <w:tr>
        <w:tc>
          <w:tcPr>
            <w:tcW w:type="dxa" w:w="2551"/>
            <w:vAlign w:val="center"/>
            <w:shd w:fill="DDEBF7"/>
          </w:tcPr>
          <w:p>
            <w:pPr>
              <w:jc w:val="center"/>
            </w:pPr>
            <w:r/>
            <w:r>
              <w:rPr>
                <w:rFonts w:ascii="宋体" w:hAnsi="宋体" w:eastAsia="宋体"/>
                <w:b w:val="0"/>
                <w:sz w:val="20"/>
              </w:rPr>
              <w:t>参训模型</w:t>
            </w:r>
          </w:p>
        </w:tc>
        <w:tc>
          <w:tcPr>
            <w:tcW w:type="dxa" w:w="5953"/>
            <w:vAlign w:val="center"/>
            <w:shd w:fill="DDEBF7"/>
          </w:tcPr>
          <w:p>
            <w:pPr>
              <w:jc w:val="center"/>
            </w:pPr>
            <w:r/>
            <w:r>
              <w:rPr>
                <w:rFonts w:ascii="宋体" w:hAnsi="宋体" w:eastAsia="宋体"/>
                <w:b w:val="0"/>
                <w:sz w:val="20"/>
              </w:rPr>
              <w:t>RandomForest、ExtraTrees、XGBoost、LightGBM、SVM、KNN、LogisticRegression</w:t>
            </w:r>
          </w:p>
        </w:tc>
      </w:tr>
    </w:tbl>
    <w:p>
      <w:pPr>
        <w:spacing w:after="0"/>
      </w:pPr>
    </w:p>
    <w:tbl>
      <w:tblPr>
        <w:tblStyle w:val="TableGrid"/>
        <w:tblW w:type="auto" w:w="0"/>
        <w:jc w:val="center"/>
        <w:tblLook w:firstColumn="1" w:firstRow="1" w:lastColumn="0" w:lastRow="0" w:noHBand="0" w:noVBand="1" w:val="04A0"/>
      </w:tblPr>
      <w:tblGrid>
        <w:gridCol w:w="3097"/>
        <w:gridCol w:w="3097"/>
        <w:gridCol w:w="3097"/>
      </w:tblGrid>
      <w:tr>
        <w:tc>
          <w:tcPr>
            <w:tcW w:type="dxa" w:w="2268"/>
            <w:vAlign w:val="center"/>
            <w:shd w:fill="1F4E79"/>
          </w:tcPr>
          <w:p>
            <w:pPr>
              <w:jc w:val="center"/>
            </w:pPr>
            <w:r/>
            <w:r>
              <w:rPr>
                <w:rFonts w:ascii="宋体" w:hAnsi="宋体" w:eastAsia="宋体"/>
                <w:b/>
                <w:color w:val="FFFFFF"/>
                <w:sz w:val="20"/>
              </w:rPr>
              <w:t>标签</w:t>
            </w:r>
          </w:p>
        </w:tc>
        <w:tc>
          <w:tcPr>
            <w:tcW w:type="dxa" w:w="2835"/>
            <w:vAlign w:val="center"/>
            <w:shd w:fill="1F4E79"/>
          </w:tcPr>
          <w:p>
            <w:pPr>
              <w:jc w:val="center"/>
            </w:pPr>
            <w:r/>
            <w:r>
              <w:rPr>
                <w:rFonts w:ascii="宋体" w:hAnsi="宋体" w:eastAsia="宋体"/>
                <w:b/>
                <w:color w:val="FFFFFF"/>
                <w:sz w:val="20"/>
              </w:rPr>
              <w:t>样本数</w:t>
            </w:r>
          </w:p>
        </w:tc>
        <w:tc>
          <w:tcPr>
            <w:tcW w:type="dxa" w:w="2835"/>
            <w:vAlign w:val="center"/>
            <w:shd w:fill="1F4E79"/>
          </w:tcPr>
          <w:p>
            <w:pPr>
              <w:jc w:val="center"/>
            </w:pPr>
            <w:r/>
            <w:r>
              <w:rPr>
                <w:rFonts w:ascii="宋体" w:hAnsi="宋体" w:eastAsia="宋体"/>
                <w:b/>
                <w:color w:val="FFFFFF"/>
                <w:sz w:val="20"/>
              </w:rPr>
              <w:t>占比</w:t>
            </w:r>
          </w:p>
        </w:tc>
      </w:tr>
      <w:tr>
        <w:tc>
          <w:tcPr>
            <w:tcW w:type="dxa" w:w="2268"/>
            <w:vAlign w:val="center"/>
          </w:tcPr>
          <w:p>
            <w:pPr>
              <w:jc w:val="center"/>
            </w:pPr>
            <w:r/>
            <w:r>
              <w:rPr>
                <w:rFonts w:ascii="宋体" w:hAnsi="宋体" w:eastAsia="宋体"/>
                <w:b w:val="0"/>
                <w:sz w:val="20"/>
              </w:rPr>
              <w:t>0</w:t>
            </w:r>
          </w:p>
        </w:tc>
        <w:tc>
          <w:tcPr>
            <w:tcW w:type="dxa" w:w="2835"/>
            <w:vAlign w:val="center"/>
          </w:tcPr>
          <w:p>
            <w:pPr>
              <w:jc w:val="center"/>
            </w:pPr>
            <w:r/>
            <w:r>
              <w:rPr>
                <w:rFonts w:ascii="宋体" w:hAnsi="宋体" w:eastAsia="宋体"/>
                <w:b w:val="0"/>
                <w:sz w:val="20"/>
              </w:rPr>
              <w:t>65</w:t>
            </w:r>
          </w:p>
        </w:tc>
        <w:tc>
          <w:tcPr>
            <w:tcW w:type="dxa" w:w="2835"/>
            <w:vAlign w:val="center"/>
          </w:tcPr>
          <w:p>
            <w:pPr>
              <w:jc w:val="center"/>
            </w:pPr>
            <w:r/>
            <w:r>
              <w:rPr>
                <w:rFonts w:ascii="宋体" w:hAnsi="宋体" w:eastAsia="宋体"/>
                <w:b w:val="0"/>
                <w:sz w:val="20"/>
              </w:rPr>
              <w:t>5.64%</w:t>
            </w:r>
          </w:p>
        </w:tc>
      </w:tr>
      <w:tr>
        <w:tc>
          <w:tcPr>
            <w:tcW w:type="dxa" w:w="2268"/>
            <w:vAlign w:val="center"/>
            <w:shd w:fill="DDEBF7"/>
          </w:tcPr>
          <w:p>
            <w:pPr>
              <w:jc w:val="center"/>
            </w:pPr>
            <w:r/>
            <w:r>
              <w:rPr>
                <w:rFonts w:ascii="宋体" w:hAnsi="宋体" w:eastAsia="宋体"/>
                <w:b w:val="0"/>
                <w:sz w:val="20"/>
              </w:rPr>
              <w:t>1</w:t>
            </w:r>
          </w:p>
        </w:tc>
        <w:tc>
          <w:tcPr>
            <w:tcW w:type="dxa" w:w="2835"/>
            <w:vAlign w:val="center"/>
            <w:shd w:fill="DDEBF7"/>
          </w:tcPr>
          <w:p>
            <w:pPr>
              <w:jc w:val="center"/>
            </w:pPr>
            <w:r/>
            <w:r>
              <w:rPr>
                <w:rFonts w:ascii="宋体" w:hAnsi="宋体" w:eastAsia="宋体"/>
                <w:b w:val="0"/>
                <w:sz w:val="20"/>
              </w:rPr>
              <w:t>121</w:t>
            </w:r>
          </w:p>
        </w:tc>
        <w:tc>
          <w:tcPr>
            <w:tcW w:type="dxa" w:w="2835"/>
            <w:vAlign w:val="center"/>
            <w:shd w:fill="DDEBF7"/>
          </w:tcPr>
          <w:p>
            <w:pPr>
              <w:jc w:val="center"/>
            </w:pPr>
            <w:r/>
            <w:r>
              <w:rPr>
                <w:rFonts w:ascii="宋体" w:hAnsi="宋体" w:eastAsia="宋体"/>
                <w:b w:val="0"/>
                <w:sz w:val="20"/>
              </w:rPr>
              <w:t>10.49%</w:t>
            </w:r>
          </w:p>
        </w:tc>
      </w:tr>
      <w:tr>
        <w:tc>
          <w:tcPr>
            <w:tcW w:type="dxa" w:w="2268"/>
            <w:vAlign w:val="center"/>
          </w:tcPr>
          <w:p>
            <w:pPr>
              <w:jc w:val="center"/>
            </w:pPr>
            <w:r/>
            <w:r>
              <w:rPr>
                <w:rFonts w:ascii="宋体" w:hAnsi="宋体" w:eastAsia="宋体"/>
                <w:b w:val="0"/>
                <w:sz w:val="20"/>
              </w:rPr>
              <w:t>2</w:t>
            </w:r>
          </w:p>
        </w:tc>
        <w:tc>
          <w:tcPr>
            <w:tcW w:type="dxa" w:w="2835"/>
            <w:vAlign w:val="center"/>
          </w:tcPr>
          <w:p>
            <w:pPr>
              <w:jc w:val="center"/>
            </w:pPr>
            <w:r/>
            <w:r>
              <w:rPr>
                <w:rFonts w:ascii="宋体" w:hAnsi="宋体" w:eastAsia="宋体"/>
                <w:b w:val="0"/>
                <w:sz w:val="20"/>
              </w:rPr>
              <w:t>182</w:t>
            </w:r>
          </w:p>
        </w:tc>
        <w:tc>
          <w:tcPr>
            <w:tcW w:type="dxa" w:w="2835"/>
            <w:vAlign w:val="center"/>
          </w:tcPr>
          <w:p>
            <w:pPr>
              <w:jc w:val="center"/>
            </w:pPr>
            <w:r/>
            <w:r>
              <w:rPr>
                <w:rFonts w:ascii="宋体" w:hAnsi="宋体" w:eastAsia="宋体"/>
                <w:b w:val="0"/>
                <w:sz w:val="20"/>
              </w:rPr>
              <w:t>15.78%</w:t>
            </w:r>
          </w:p>
        </w:tc>
      </w:tr>
      <w:tr>
        <w:tc>
          <w:tcPr>
            <w:tcW w:type="dxa" w:w="2268"/>
            <w:vAlign w:val="center"/>
            <w:shd w:fill="DDEBF7"/>
          </w:tcPr>
          <w:p>
            <w:pPr>
              <w:jc w:val="center"/>
            </w:pPr>
            <w:r/>
            <w:r>
              <w:rPr>
                <w:rFonts w:ascii="宋体" w:hAnsi="宋体" w:eastAsia="宋体"/>
                <w:b w:val="0"/>
                <w:sz w:val="20"/>
              </w:rPr>
              <w:t>3</w:t>
            </w:r>
          </w:p>
        </w:tc>
        <w:tc>
          <w:tcPr>
            <w:tcW w:type="dxa" w:w="2835"/>
            <w:vAlign w:val="center"/>
            <w:shd w:fill="DDEBF7"/>
          </w:tcPr>
          <w:p>
            <w:pPr>
              <w:jc w:val="center"/>
            </w:pPr>
            <w:r/>
            <w:r>
              <w:rPr>
                <w:rFonts w:ascii="宋体" w:hAnsi="宋体" w:eastAsia="宋体"/>
                <w:b w:val="0"/>
                <w:sz w:val="20"/>
              </w:rPr>
              <w:t>37</w:t>
            </w:r>
          </w:p>
        </w:tc>
        <w:tc>
          <w:tcPr>
            <w:tcW w:type="dxa" w:w="2835"/>
            <w:vAlign w:val="center"/>
            <w:shd w:fill="DDEBF7"/>
          </w:tcPr>
          <w:p>
            <w:pPr>
              <w:jc w:val="center"/>
            </w:pPr>
            <w:r/>
            <w:r>
              <w:rPr>
                <w:rFonts w:ascii="宋体" w:hAnsi="宋体" w:eastAsia="宋体"/>
                <w:b w:val="0"/>
                <w:sz w:val="20"/>
              </w:rPr>
              <w:t>3.21%</w:t>
            </w:r>
          </w:p>
        </w:tc>
      </w:tr>
      <w:tr>
        <w:tc>
          <w:tcPr>
            <w:tcW w:type="dxa" w:w="2268"/>
            <w:vAlign w:val="center"/>
          </w:tcPr>
          <w:p>
            <w:pPr>
              <w:jc w:val="center"/>
            </w:pPr>
            <w:r/>
            <w:r>
              <w:rPr>
                <w:rFonts w:ascii="宋体" w:hAnsi="宋体" w:eastAsia="宋体"/>
                <w:b w:val="0"/>
                <w:sz w:val="20"/>
              </w:rPr>
              <w:t>4</w:t>
            </w:r>
          </w:p>
        </w:tc>
        <w:tc>
          <w:tcPr>
            <w:tcW w:type="dxa" w:w="2835"/>
            <w:vAlign w:val="center"/>
          </w:tcPr>
          <w:p>
            <w:pPr>
              <w:jc w:val="center"/>
            </w:pPr>
            <w:r/>
            <w:r>
              <w:rPr>
                <w:rFonts w:ascii="宋体" w:hAnsi="宋体" w:eastAsia="宋体"/>
                <w:b w:val="0"/>
                <w:sz w:val="20"/>
              </w:rPr>
              <w:t>72</w:t>
            </w:r>
          </w:p>
        </w:tc>
        <w:tc>
          <w:tcPr>
            <w:tcW w:type="dxa" w:w="2835"/>
            <w:vAlign w:val="center"/>
          </w:tcPr>
          <w:p>
            <w:pPr>
              <w:jc w:val="center"/>
            </w:pPr>
            <w:r/>
            <w:r>
              <w:rPr>
                <w:rFonts w:ascii="宋体" w:hAnsi="宋体" w:eastAsia="宋体"/>
                <w:b w:val="0"/>
                <w:sz w:val="20"/>
              </w:rPr>
              <w:t>6.24%</w:t>
            </w:r>
          </w:p>
        </w:tc>
      </w:tr>
      <w:tr>
        <w:tc>
          <w:tcPr>
            <w:tcW w:type="dxa" w:w="2268"/>
            <w:vAlign w:val="center"/>
            <w:shd w:fill="DDEBF7"/>
          </w:tcPr>
          <w:p>
            <w:pPr>
              <w:jc w:val="center"/>
            </w:pPr>
            <w:r/>
            <w:r>
              <w:rPr>
                <w:rFonts w:ascii="宋体" w:hAnsi="宋体" w:eastAsia="宋体"/>
                <w:b w:val="0"/>
                <w:sz w:val="20"/>
              </w:rPr>
              <w:t>5</w:t>
            </w:r>
          </w:p>
        </w:tc>
        <w:tc>
          <w:tcPr>
            <w:tcW w:type="dxa" w:w="2835"/>
            <w:vAlign w:val="center"/>
            <w:shd w:fill="DDEBF7"/>
          </w:tcPr>
          <w:p>
            <w:pPr>
              <w:jc w:val="center"/>
            </w:pPr>
            <w:r/>
            <w:r>
              <w:rPr>
                <w:rFonts w:ascii="宋体" w:hAnsi="宋体" w:eastAsia="宋体"/>
                <w:b w:val="0"/>
                <w:sz w:val="20"/>
              </w:rPr>
              <w:t>98</w:t>
            </w:r>
          </w:p>
        </w:tc>
        <w:tc>
          <w:tcPr>
            <w:tcW w:type="dxa" w:w="2835"/>
            <w:vAlign w:val="center"/>
            <w:shd w:fill="DDEBF7"/>
          </w:tcPr>
          <w:p>
            <w:pPr>
              <w:jc w:val="center"/>
            </w:pPr>
            <w:r/>
            <w:r>
              <w:rPr>
                <w:rFonts w:ascii="宋体" w:hAnsi="宋体" w:eastAsia="宋体"/>
                <w:b w:val="0"/>
                <w:sz w:val="20"/>
              </w:rPr>
              <w:t>8.50%</w:t>
            </w:r>
          </w:p>
        </w:tc>
      </w:tr>
      <w:tr>
        <w:tc>
          <w:tcPr>
            <w:tcW w:type="dxa" w:w="2268"/>
            <w:vAlign w:val="center"/>
          </w:tcPr>
          <w:p>
            <w:pPr>
              <w:jc w:val="center"/>
            </w:pPr>
            <w:r/>
            <w:r>
              <w:rPr>
                <w:rFonts w:ascii="宋体" w:hAnsi="宋体" w:eastAsia="宋体"/>
                <w:b w:val="0"/>
                <w:sz w:val="20"/>
              </w:rPr>
              <w:t>6</w:t>
            </w:r>
          </w:p>
        </w:tc>
        <w:tc>
          <w:tcPr>
            <w:tcW w:type="dxa" w:w="2835"/>
            <w:vAlign w:val="center"/>
          </w:tcPr>
          <w:p>
            <w:pPr>
              <w:jc w:val="center"/>
            </w:pPr>
            <w:r/>
            <w:r>
              <w:rPr>
                <w:rFonts w:ascii="宋体" w:hAnsi="宋体" w:eastAsia="宋体"/>
                <w:b w:val="0"/>
                <w:sz w:val="20"/>
              </w:rPr>
              <w:t>114</w:t>
            </w:r>
          </w:p>
        </w:tc>
        <w:tc>
          <w:tcPr>
            <w:tcW w:type="dxa" w:w="2835"/>
            <w:vAlign w:val="center"/>
          </w:tcPr>
          <w:p>
            <w:pPr>
              <w:jc w:val="center"/>
            </w:pPr>
            <w:r/>
            <w:r>
              <w:rPr>
                <w:rFonts w:ascii="宋体" w:hAnsi="宋体" w:eastAsia="宋体"/>
                <w:b w:val="0"/>
                <w:sz w:val="20"/>
              </w:rPr>
              <w:t>9.89%</w:t>
            </w:r>
          </w:p>
        </w:tc>
      </w:tr>
      <w:tr>
        <w:tc>
          <w:tcPr>
            <w:tcW w:type="dxa" w:w="2268"/>
            <w:vAlign w:val="center"/>
            <w:shd w:fill="DDEBF7"/>
          </w:tcPr>
          <w:p>
            <w:pPr>
              <w:jc w:val="center"/>
            </w:pPr>
            <w:r/>
            <w:r>
              <w:rPr>
                <w:rFonts w:ascii="宋体" w:hAnsi="宋体" w:eastAsia="宋体"/>
                <w:b w:val="0"/>
                <w:sz w:val="20"/>
              </w:rPr>
              <w:t>7</w:t>
            </w:r>
          </w:p>
        </w:tc>
        <w:tc>
          <w:tcPr>
            <w:tcW w:type="dxa" w:w="2835"/>
            <w:vAlign w:val="center"/>
            <w:shd w:fill="DDEBF7"/>
          </w:tcPr>
          <w:p>
            <w:pPr>
              <w:jc w:val="center"/>
            </w:pPr>
            <w:r/>
            <w:r>
              <w:rPr>
                <w:rFonts w:ascii="宋体" w:hAnsi="宋体" w:eastAsia="宋体"/>
                <w:b w:val="0"/>
                <w:sz w:val="20"/>
              </w:rPr>
              <w:t>41</w:t>
            </w:r>
          </w:p>
        </w:tc>
        <w:tc>
          <w:tcPr>
            <w:tcW w:type="dxa" w:w="2835"/>
            <w:vAlign w:val="center"/>
            <w:shd w:fill="DDEBF7"/>
          </w:tcPr>
          <w:p>
            <w:pPr>
              <w:jc w:val="center"/>
            </w:pPr>
            <w:r/>
            <w:r>
              <w:rPr>
                <w:rFonts w:ascii="宋体" w:hAnsi="宋体" w:eastAsia="宋体"/>
                <w:b w:val="0"/>
                <w:sz w:val="20"/>
              </w:rPr>
              <w:t>3.56%</w:t>
            </w:r>
          </w:p>
        </w:tc>
      </w:tr>
      <w:tr>
        <w:tc>
          <w:tcPr>
            <w:tcW w:type="dxa" w:w="2268"/>
            <w:vAlign w:val="center"/>
          </w:tcPr>
          <w:p>
            <w:pPr>
              <w:jc w:val="center"/>
            </w:pPr>
            <w:r/>
            <w:r>
              <w:rPr>
                <w:rFonts w:ascii="宋体" w:hAnsi="宋体" w:eastAsia="宋体"/>
                <w:b w:val="0"/>
                <w:sz w:val="20"/>
              </w:rPr>
              <w:t>8</w:t>
            </w:r>
          </w:p>
        </w:tc>
        <w:tc>
          <w:tcPr>
            <w:tcW w:type="dxa" w:w="2835"/>
            <w:vAlign w:val="center"/>
          </w:tcPr>
          <w:p>
            <w:pPr>
              <w:jc w:val="center"/>
            </w:pPr>
            <w:r/>
            <w:r>
              <w:rPr>
                <w:rFonts w:ascii="宋体" w:hAnsi="宋体" w:eastAsia="宋体"/>
                <w:b w:val="0"/>
                <w:sz w:val="20"/>
              </w:rPr>
              <w:t>5</w:t>
            </w:r>
          </w:p>
        </w:tc>
        <w:tc>
          <w:tcPr>
            <w:tcW w:type="dxa" w:w="2835"/>
            <w:vAlign w:val="center"/>
          </w:tcPr>
          <w:p>
            <w:pPr>
              <w:jc w:val="center"/>
            </w:pPr>
            <w:r/>
            <w:r>
              <w:rPr>
                <w:rFonts w:ascii="宋体" w:hAnsi="宋体" w:eastAsia="宋体"/>
                <w:b w:val="0"/>
                <w:sz w:val="20"/>
              </w:rPr>
              <w:t>0.43%</w:t>
            </w:r>
          </w:p>
        </w:tc>
      </w:tr>
      <w:tr>
        <w:tc>
          <w:tcPr>
            <w:tcW w:type="dxa" w:w="2268"/>
            <w:vAlign w:val="center"/>
            <w:shd w:fill="DDEBF7"/>
          </w:tcPr>
          <w:p>
            <w:pPr>
              <w:jc w:val="center"/>
            </w:pPr>
            <w:r/>
            <w:r>
              <w:rPr>
                <w:rFonts w:ascii="宋体" w:hAnsi="宋体" w:eastAsia="宋体"/>
                <w:b w:val="0"/>
                <w:sz w:val="20"/>
              </w:rPr>
              <w:t>9</w:t>
            </w:r>
          </w:p>
        </w:tc>
        <w:tc>
          <w:tcPr>
            <w:tcW w:type="dxa" w:w="2835"/>
            <w:vAlign w:val="center"/>
            <w:shd w:fill="DDEBF7"/>
          </w:tcPr>
          <w:p>
            <w:pPr>
              <w:jc w:val="center"/>
            </w:pPr>
            <w:r/>
            <w:r>
              <w:rPr>
                <w:rFonts w:ascii="宋体" w:hAnsi="宋体" w:eastAsia="宋体"/>
                <w:b w:val="0"/>
                <w:sz w:val="20"/>
              </w:rPr>
              <w:t>101</w:t>
            </w:r>
          </w:p>
        </w:tc>
        <w:tc>
          <w:tcPr>
            <w:tcW w:type="dxa" w:w="2835"/>
            <w:vAlign w:val="center"/>
            <w:shd w:fill="DDEBF7"/>
          </w:tcPr>
          <w:p>
            <w:pPr>
              <w:jc w:val="center"/>
            </w:pPr>
            <w:r/>
            <w:r>
              <w:rPr>
                <w:rFonts w:ascii="宋体" w:hAnsi="宋体" w:eastAsia="宋体"/>
                <w:b w:val="0"/>
                <w:sz w:val="20"/>
              </w:rPr>
              <w:t>8.76%</w:t>
            </w:r>
          </w:p>
        </w:tc>
      </w:tr>
      <w:tr>
        <w:tc>
          <w:tcPr>
            <w:tcW w:type="dxa" w:w="2268"/>
            <w:vAlign w:val="center"/>
          </w:tcPr>
          <w:p>
            <w:pPr>
              <w:jc w:val="center"/>
            </w:pPr>
            <w:r/>
            <w:r>
              <w:rPr>
                <w:rFonts w:ascii="宋体" w:hAnsi="宋体" w:eastAsia="宋体"/>
                <w:b w:val="0"/>
                <w:sz w:val="20"/>
              </w:rPr>
              <w:t>10</w:t>
            </w:r>
          </w:p>
        </w:tc>
        <w:tc>
          <w:tcPr>
            <w:tcW w:type="dxa" w:w="2835"/>
            <w:vAlign w:val="center"/>
          </w:tcPr>
          <w:p>
            <w:pPr>
              <w:jc w:val="center"/>
            </w:pPr>
            <w:r/>
            <w:r>
              <w:rPr>
                <w:rFonts w:ascii="宋体" w:hAnsi="宋体" w:eastAsia="宋体"/>
                <w:b w:val="0"/>
                <w:sz w:val="20"/>
              </w:rPr>
              <w:t>15</w:t>
            </w:r>
          </w:p>
        </w:tc>
        <w:tc>
          <w:tcPr>
            <w:tcW w:type="dxa" w:w="2835"/>
            <w:vAlign w:val="center"/>
          </w:tcPr>
          <w:p>
            <w:pPr>
              <w:jc w:val="center"/>
            </w:pPr>
            <w:r/>
            <w:r>
              <w:rPr>
                <w:rFonts w:ascii="宋体" w:hAnsi="宋体" w:eastAsia="宋体"/>
                <w:b w:val="0"/>
                <w:sz w:val="20"/>
              </w:rPr>
              <w:t>1.30%</w:t>
            </w:r>
          </w:p>
        </w:tc>
      </w:tr>
      <w:tr>
        <w:tc>
          <w:tcPr>
            <w:tcW w:type="dxa" w:w="2268"/>
            <w:vAlign w:val="center"/>
            <w:shd w:fill="DDEBF7"/>
          </w:tcPr>
          <w:p>
            <w:pPr>
              <w:jc w:val="center"/>
            </w:pPr>
            <w:r/>
            <w:r>
              <w:rPr>
                <w:rFonts w:ascii="宋体" w:hAnsi="宋体" w:eastAsia="宋体"/>
                <w:b w:val="0"/>
                <w:sz w:val="20"/>
              </w:rPr>
              <w:t>11</w:t>
            </w:r>
          </w:p>
        </w:tc>
        <w:tc>
          <w:tcPr>
            <w:tcW w:type="dxa" w:w="2835"/>
            <w:vAlign w:val="center"/>
            <w:shd w:fill="DDEBF7"/>
          </w:tcPr>
          <w:p>
            <w:pPr>
              <w:jc w:val="center"/>
            </w:pPr>
            <w:r/>
            <w:r>
              <w:rPr>
                <w:rFonts w:ascii="宋体" w:hAnsi="宋体" w:eastAsia="宋体"/>
                <w:b w:val="0"/>
                <w:sz w:val="20"/>
              </w:rPr>
              <w:t>39</w:t>
            </w:r>
          </w:p>
        </w:tc>
        <w:tc>
          <w:tcPr>
            <w:tcW w:type="dxa" w:w="2835"/>
            <w:vAlign w:val="center"/>
            <w:shd w:fill="DDEBF7"/>
          </w:tcPr>
          <w:p>
            <w:pPr>
              <w:jc w:val="center"/>
            </w:pPr>
            <w:r/>
            <w:r>
              <w:rPr>
                <w:rFonts w:ascii="宋体" w:hAnsi="宋体" w:eastAsia="宋体"/>
                <w:b w:val="0"/>
                <w:sz w:val="20"/>
              </w:rPr>
              <w:t>3.38%</w:t>
            </w:r>
          </w:p>
        </w:tc>
      </w:tr>
      <w:tr>
        <w:tc>
          <w:tcPr>
            <w:tcW w:type="dxa" w:w="2268"/>
            <w:vAlign w:val="center"/>
          </w:tcPr>
          <w:p>
            <w:pPr>
              <w:jc w:val="center"/>
            </w:pPr>
            <w:r/>
            <w:r>
              <w:rPr>
                <w:rFonts w:ascii="宋体" w:hAnsi="宋体" w:eastAsia="宋体"/>
                <w:b w:val="0"/>
                <w:sz w:val="20"/>
              </w:rPr>
              <w:t>12</w:t>
            </w:r>
          </w:p>
        </w:tc>
        <w:tc>
          <w:tcPr>
            <w:tcW w:type="dxa" w:w="2835"/>
            <w:vAlign w:val="center"/>
          </w:tcPr>
          <w:p>
            <w:pPr>
              <w:jc w:val="center"/>
            </w:pPr>
            <w:r/>
            <w:r>
              <w:rPr>
                <w:rFonts w:ascii="宋体" w:hAnsi="宋体" w:eastAsia="宋体"/>
                <w:b w:val="0"/>
                <w:sz w:val="20"/>
              </w:rPr>
              <w:t>263</w:t>
            </w:r>
          </w:p>
        </w:tc>
        <w:tc>
          <w:tcPr>
            <w:tcW w:type="dxa" w:w="2835"/>
            <w:vAlign w:val="center"/>
          </w:tcPr>
          <w:p>
            <w:pPr>
              <w:jc w:val="center"/>
            </w:pPr>
            <w:r/>
            <w:r>
              <w:rPr>
                <w:rFonts w:ascii="宋体" w:hAnsi="宋体" w:eastAsia="宋体"/>
                <w:b w:val="0"/>
                <w:sz w:val="20"/>
              </w:rPr>
              <w:t>22.81%</w:t>
            </w:r>
          </w:p>
        </w:tc>
      </w:tr>
    </w:tbl>
    <w:p>
      <w:pPr>
        <w:spacing w:after="0"/>
      </w:pPr>
    </w:p>
    <w:p>
      <w:pPr>
        <w:ind w:firstLine="420"/>
        <w:jc w:val="both"/>
      </w:pPr>
      <w:r>
        <w:t>需要特别说明：业务描述为原分类体系包含14类，但训练日志中实际出现标签0至12，共13个有效类别。可能存在某一类别没有训练样本、标签映射遗漏，或业务类别数量与模型标签口径不一致。重新标注前应核对原始分类表、标签映射表和训练数据，避免类别再次遗漏。</w:t>
      </w:r>
    </w:p>
    <w:p>
      <w:pPr>
        <w:pStyle w:val="Heading2"/>
      </w:pPr>
      <w:r>
        <w:t>2.2 模型训练结果</w:t>
      </w:r>
    </w:p>
    <w:p>
      <w:pPr>
        <w:ind w:firstLine="420"/>
        <w:jc w:val="both"/>
      </w:pPr>
      <w:r>
        <w:t>各模型五折交叉验证结果如下。多个不同原理的分类模型均取得83%至90%的内部验证准确率，未出现某一模型明显失效的情况。</w:t>
      </w:r>
    </w:p>
    <w:tbl>
      <w:tblPr>
        <w:tblStyle w:val="TableGrid"/>
        <w:tblW w:type="auto" w:w="0"/>
        <w:jc w:val="center"/>
        <w:tblLook w:firstColumn="1" w:firstRow="1" w:lastColumn="0" w:lastRow="0" w:noHBand="0" w:noVBand="1" w:val="04A0"/>
      </w:tblPr>
      <w:tblGrid>
        <w:gridCol w:w="3097"/>
        <w:gridCol w:w="3097"/>
        <w:gridCol w:w="3097"/>
      </w:tblGrid>
      <w:tr>
        <w:tc>
          <w:tcPr>
            <w:tcW w:type="dxa" w:w="2835"/>
            <w:vAlign w:val="center"/>
            <w:shd w:fill="1F4E79"/>
          </w:tcPr>
          <w:p>
            <w:pPr>
              <w:jc w:val="center"/>
            </w:pPr>
            <w:r/>
            <w:r>
              <w:rPr>
                <w:rFonts w:ascii="宋体" w:hAnsi="宋体" w:eastAsia="宋体"/>
                <w:b/>
                <w:color w:val="FFFFFF"/>
                <w:sz w:val="20"/>
              </w:rPr>
              <w:t>模型</w:t>
            </w:r>
          </w:p>
        </w:tc>
        <w:tc>
          <w:tcPr>
            <w:tcW w:type="dxa" w:w="2835"/>
            <w:vAlign w:val="center"/>
            <w:shd w:fill="1F4E79"/>
          </w:tcPr>
          <w:p>
            <w:pPr>
              <w:jc w:val="center"/>
            </w:pPr>
            <w:r/>
            <w:r>
              <w:rPr>
                <w:rFonts w:ascii="宋体" w:hAnsi="宋体" w:eastAsia="宋体"/>
                <w:b/>
                <w:color w:val="FFFFFF"/>
                <w:sz w:val="20"/>
              </w:rPr>
              <w:t>准确率</w:t>
            </w:r>
          </w:p>
        </w:tc>
        <w:tc>
          <w:tcPr>
            <w:tcW w:type="dxa" w:w="2835"/>
            <w:vAlign w:val="center"/>
            <w:shd w:fill="1F4E79"/>
          </w:tcPr>
          <w:p>
            <w:pPr>
              <w:jc w:val="center"/>
            </w:pPr>
            <w:r/>
            <w:r>
              <w:rPr>
                <w:rFonts w:ascii="宋体" w:hAnsi="宋体" w:eastAsia="宋体"/>
                <w:b/>
                <w:color w:val="FFFFFF"/>
                <w:sz w:val="20"/>
              </w:rPr>
              <w:t>F1值</w:t>
            </w:r>
          </w:p>
        </w:tc>
      </w:tr>
      <w:tr>
        <w:tc>
          <w:tcPr>
            <w:tcW w:type="dxa" w:w="2835"/>
            <w:vAlign w:val="center"/>
          </w:tcPr>
          <w:p>
            <w:pPr>
              <w:jc w:val="center"/>
            </w:pPr>
            <w:r/>
            <w:r>
              <w:rPr>
                <w:rFonts w:ascii="宋体" w:hAnsi="宋体" w:eastAsia="宋体"/>
                <w:b w:val="0"/>
                <w:sz w:val="20"/>
              </w:rPr>
              <w:t>XGBoost</w:t>
            </w:r>
          </w:p>
        </w:tc>
        <w:tc>
          <w:tcPr>
            <w:tcW w:type="dxa" w:w="2835"/>
            <w:vAlign w:val="center"/>
          </w:tcPr>
          <w:p>
            <w:pPr>
              <w:jc w:val="center"/>
            </w:pPr>
            <w:r/>
            <w:r>
              <w:rPr>
                <w:rFonts w:ascii="宋体" w:hAnsi="宋体" w:eastAsia="宋体"/>
                <w:b w:val="0"/>
                <w:sz w:val="20"/>
              </w:rPr>
              <w:t>89.59% ± 0.54%</w:t>
            </w:r>
          </w:p>
        </w:tc>
        <w:tc>
          <w:tcPr>
            <w:tcW w:type="dxa" w:w="2835"/>
            <w:vAlign w:val="center"/>
          </w:tcPr>
          <w:p>
            <w:pPr>
              <w:jc w:val="center"/>
            </w:pPr>
            <w:r/>
            <w:r>
              <w:rPr>
                <w:rFonts w:ascii="宋体" w:hAnsi="宋体" w:eastAsia="宋体"/>
                <w:b w:val="0"/>
                <w:sz w:val="20"/>
              </w:rPr>
              <w:t>89.37% ± 0.54%</w:t>
            </w:r>
          </w:p>
        </w:tc>
      </w:tr>
      <w:tr>
        <w:tc>
          <w:tcPr>
            <w:tcW w:type="dxa" w:w="2835"/>
            <w:vAlign w:val="center"/>
            <w:shd w:fill="DDEBF7"/>
          </w:tcPr>
          <w:p>
            <w:pPr>
              <w:jc w:val="center"/>
            </w:pPr>
            <w:r/>
            <w:r>
              <w:rPr>
                <w:rFonts w:ascii="宋体" w:hAnsi="宋体" w:eastAsia="宋体"/>
                <w:b w:val="0"/>
                <w:sz w:val="20"/>
              </w:rPr>
              <w:t>LightGBM</w:t>
            </w:r>
          </w:p>
        </w:tc>
        <w:tc>
          <w:tcPr>
            <w:tcW w:type="dxa" w:w="2835"/>
            <w:vAlign w:val="center"/>
            <w:shd w:fill="DDEBF7"/>
          </w:tcPr>
          <w:p>
            <w:pPr>
              <w:jc w:val="center"/>
            </w:pPr>
            <w:r/>
            <w:r>
              <w:rPr>
                <w:rFonts w:ascii="宋体" w:hAnsi="宋体" w:eastAsia="宋体"/>
                <w:b w:val="0"/>
                <w:sz w:val="20"/>
              </w:rPr>
              <w:t>89.42% ± 0.78%</w:t>
            </w:r>
          </w:p>
        </w:tc>
        <w:tc>
          <w:tcPr>
            <w:tcW w:type="dxa" w:w="2835"/>
            <w:vAlign w:val="center"/>
            <w:shd w:fill="DDEBF7"/>
          </w:tcPr>
          <w:p>
            <w:pPr>
              <w:jc w:val="center"/>
            </w:pPr>
            <w:r/>
            <w:r>
              <w:rPr>
                <w:rFonts w:ascii="宋体" w:hAnsi="宋体" w:eastAsia="宋体"/>
                <w:b w:val="0"/>
                <w:sz w:val="20"/>
              </w:rPr>
              <w:t>89.27% ± 0.82%</w:t>
            </w:r>
          </w:p>
        </w:tc>
      </w:tr>
      <w:tr>
        <w:tc>
          <w:tcPr>
            <w:tcW w:type="dxa" w:w="2835"/>
            <w:vAlign w:val="center"/>
          </w:tcPr>
          <w:p>
            <w:pPr>
              <w:jc w:val="center"/>
            </w:pPr>
            <w:r/>
            <w:r>
              <w:rPr>
                <w:rFonts w:ascii="宋体" w:hAnsi="宋体" w:eastAsia="宋体"/>
                <w:b w:val="0"/>
                <w:sz w:val="20"/>
              </w:rPr>
              <w:t>RandomForest</w:t>
            </w:r>
          </w:p>
        </w:tc>
        <w:tc>
          <w:tcPr>
            <w:tcW w:type="dxa" w:w="2835"/>
            <w:vAlign w:val="center"/>
          </w:tcPr>
          <w:p>
            <w:pPr>
              <w:jc w:val="center"/>
            </w:pPr>
            <w:r/>
            <w:r>
              <w:rPr>
                <w:rFonts w:ascii="宋体" w:hAnsi="宋体" w:eastAsia="宋体"/>
                <w:b w:val="0"/>
                <w:sz w:val="20"/>
              </w:rPr>
              <w:t>88.90% ± 1.82%</w:t>
            </w:r>
          </w:p>
        </w:tc>
        <w:tc>
          <w:tcPr>
            <w:tcW w:type="dxa" w:w="2835"/>
            <w:vAlign w:val="center"/>
          </w:tcPr>
          <w:p>
            <w:pPr>
              <w:jc w:val="center"/>
            </w:pPr>
            <w:r/>
            <w:r>
              <w:rPr>
                <w:rFonts w:ascii="宋体" w:hAnsi="宋体" w:eastAsia="宋体"/>
                <w:b w:val="0"/>
                <w:sz w:val="20"/>
              </w:rPr>
              <w:t>88.61% ± 1.88%</w:t>
            </w:r>
          </w:p>
        </w:tc>
      </w:tr>
      <w:tr>
        <w:tc>
          <w:tcPr>
            <w:tcW w:type="dxa" w:w="2835"/>
            <w:vAlign w:val="center"/>
            <w:shd w:fill="DDEBF7"/>
          </w:tcPr>
          <w:p>
            <w:pPr>
              <w:jc w:val="center"/>
            </w:pPr>
            <w:r/>
            <w:r>
              <w:rPr>
                <w:rFonts w:ascii="宋体" w:hAnsi="宋体" w:eastAsia="宋体"/>
                <w:b w:val="0"/>
                <w:sz w:val="20"/>
              </w:rPr>
              <w:t>ExtraTrees</w:t>
            </w:r>
          </w:p>
        </w:tc>
        <w:tc>
          <w:tcPr>
            <w:tcW w:type="dxa" w:w="2835"/>
            <w:vAlign w:val="center"/>
            <w:shd w:fill="DDEBF7"/>
          </w:tcPr>
          <w:p>
            <w:pPr>
              <w:jc w:val="center"/>
            </w:pPr>
            <w:r/>
            <w:r>
              <w:rPr>
                <w:rFonts w:ascii="宋体" w:hAnsi="宋体" w:eastAsia="宋体"/>
                <w:b w:val="0"/>
                <w:sz w:val="20"/>
              </w:rPr>
              <w:t>88.64% ± 1.52%</w:t>
            </w:r>
          </w:p>
        </w:tc>
        <w:tc>
          <w:tcPr>
            <w:tcW w:type="dxa" w:w="2835"/>
            <w:vAlign w:val="center"/>
            <w:shd w:fill="DDEBF7"/>
          </w:tcPr>
          <w:p>
            <w:pPr>
              <w:jc w:val="center"/>
            </w:pPr>
            <w:r/>
            <w:r>
              <w:rPr>
                <w:rFonts w:ascii="宋体" w:hAnsi="宋体" w:eastAsia="宋体"/>
                <w:b w:val="0"/>
                <w:sz w:val="20"/>
              </w:rPr>
              <w:t>88.52% ± 1.36%</w:t>
            </w:r>
          </w:p>
        </w:tc>
      </w:tr>
      <w:tr>
        <w:tc>
          <w:tcPr>
            <w:tcW w:type="dxa" w:w="2835"/>
            <w:vAlign w:val="center"/>
          </w:tcPr>
          <w:p>
            <w:pPr>
              <w:jc w:val="center"/>
            </w:pPr>
            <w:r/>
            <w:r>
              <w:rPr>
                <w:rFonts w:ascii="宋体" w:hAnsi="宋体" w:eastAsia="宋体"/>
                <w:b w:val="0"/>
                <w:sz w:val="20"/>
              </w:rPr>
              <w:t>LogisticRegression</w:t>
            </w:r>
          </w:p>
        </w:tc>
        <w:tc>
          <w:tcPr>
            <w:tcW w:type="dxa" w:w="2835"/>
            <w:vAlign w:val="center"/>
          </w:tcPr>
          <w:p>
            <w:pPr>
              <w:jc w:val="center"/>
            </w:pPr>
            <w:r/>
            <w:r>
              <w:rPr>
                <w:rFonts w:ascii="宋体" w:hAnsi="宋体" w:eastAsia="宋体"/>
                <w:b w:val="0"/>
                <w:sz w:val="20"/>
              </w:rPr>
              <w:t>87.33% ± 2.02%</w:t>
            </w:r>
          </w:p>
        </w:tc>
        <w:tc>
          <w:tcPr>
            <w:tcW w:type="dxa" w:w="2835"/>
            <w:vAlign w:val="center"/>
          </w:tcPr>
          <w:p>
            <w:pPr>
              <w:jc w:val="center"/>
            </w:pPr>
            <w:r/>
            <w:r>
              <w:rPr>
                <w:rFonts w:ascii="宋体" w:hAnsi="宋体" w:eastAsia="宋体"/>
                <w:b w:val="0"/>
                <w:sz w:val="20"/>
              </w:rPr>
              <w:t>87.49% ± 1.91%</w:t>
            </w:r>
          </w:p>
        </w:tc>
      </w:tr>
      <w:tr>
        <w:tc>
          <w:tcPr>
            <w:tcW w:type="dxa" w:w="2835"/>
            <w:vAlign w:val="center"/>
            <w:shd w:fill="DDEBF7"/>
          </w:tcPr>
          <w:p>
            <w:pPr>
              <w:jc w:val="center"/>
            </w:pPr>
            <w:r/>
            <w:r>
              <w:rPr>
                <w:rFonts w:ascii="宋体" w:hAnsi="宋体" w:eastAsia="宋体"/>
                <w:b w:val="0"/>
                <w:sz w:val="20"/>
              </w:rPr>
              <w:t>SVM</w:t>
            </w:r>
          </w:p>
        </w:tc>
        <w:tc>
          <w:tcPr>
            <w:tcW w:type="dxa" w:w="2835"/>
            <w:vAlign w:val="center"/>
            <w:shd w:fill="DDEBF7"/>
          </w:tcPr>
          <w:p>
            <w:pPr>
              <w:jc w:val="center"/>
            </w:pPr>
            <w:r/>
            <w:r>
              <w:rPr>
                <w:rFonts w:ascii="宋体" w:hAnsi="宋体" w:eastAsia="宋体"/>
                <w:b w:val="0"/>
                <w:sz w:val="20"/>
              </w:rPr>
              <w:t>84.04% ± 1.42%</w:t>
            </w:r>
          </w:p>
        </w:tc>
        <w:tc>
          <w:tcPr>
            <w:tcW w:type="dxa" w:w="2835"/>
            <w:vAlign w:val="center"/>
            <w:shd w:fill="DDEBF7"/>
          </w:tcPr>
          <w:p>
            <w:pPr>
              <w:jc w:val="center"/>
            </w:pPr>
            <w:r/>
            <w:r>
              <w:rPr>
                <w:rFonts w:ascii="宋体" w:hAnsi="宋体" w:eastAsia="宋体"/>
                <w:b w:val="0"/>
                <w:sz w:val="20"/>
              </w:rPr>
              <w:t>83.96% ± 1.19%</w:t>
            </w:r>
          </w:p>
        </w:tc>
      </w:tr>
      <w:tr>
        <w:tc>
          <w:tcPr>
            <w:tcW w:type="dxa" w:w="2835"/>
            <w:vAlign w:val="center"/>
          </w:tcPr>
          <w:p>
            <w:pPr>
              <w:jc w:val="center"/>
            </w:pPr>
            <w:r/>
            <w:r>
              <w:rPr>
                <w:rFonts w:ascii="宋体" w:hAnsi="宋体" w:eastAsia="宋体"/>
                <w:b w:val="0"/>
                <w:sz w:val="20"/>
              </w:rPr>
              <w:t>KNN</w:t>
            </w:r>
          </w:p>
        </w:tc>
        <w:tc>
          <w:tcPr>
            <w:tcW w:type="dxa" w:w="2835"/>
            <w:vAlign w:val="center"/>
          </w:tcPr>
          <w:p>
            <w:pPr>
              <w:jc w:val="center"/>
            </w:pPr>
            <w:r/>
            <w:r>
              <w:rPr>
                <w:rFonts w:ascii="宋体" w:hAnsi="宋体" w:eastAsia="宋体"/>
                <w:b w:val="0"/>
                <w:sz w:val="20"/>
              </w:rPr>
              <w:t>83.26% ± 1.95%</w:t>
            </w:r>
          </w:p>
        </w:tc>
        <w:tc>
          <w:tcPr>
            <w:tcW w:type="dxa" w:w="2835"/>
            <w:vAlign w:val="center"/>
          </w:tcPr>
          <w:p>
            <w:pPr>
              <w:jc w:val="center"/>
            </w:pPr>
            <w:r/>
            <w:r>
              <w:rPr>
                <w:rFonts w:ascii="宋体" w:hAnsi="宋体" w:eastAsia="宋体"/>
                <w:b w:val="0"/>
                <w:sz w:val="20"/>
              </w:rPr>
              <w:t>82.80% ± 1.76%</w:t>
            </w:r>
          </w:p>
        </w:tc>
      </w:tr>
    </w:tbl>
    <w:p>
      <w:pPr>
        <w:spacing w:after="0"/>
      </w:pPr>
    </w:p>
    <w:p>
      <w:pPr>
        <w:ind w:firstLine="420"/>
        <w:jc w:val="both"/>
      </w:pPr>
      <w:r>
        <w:t>XGBoost为训练阶段最佳模型，五折平均准确率为89.59%，F1值为89.37%。五折准确率标准差仅为0.54%，说明模型在当前训练数据内部的表现相对稳定。</w:t>
      </w:r>
    </w:p>
    <w:p>
      <w:pPr>
        <w:pStyle w:val="Heading2"/>
      </w:pPr>
      <w:r>
        <w:t>2.3 实测偏差</w:t>
      </w:r>
    </w:p>
    <w:tbl>
      <w:tblPr>
        <w:tblStyle w:val="TableGrid"/>
        <w:tblW w:type="auto" w:w="0"/>
        <w:jc w:val="center"/>
        <w:tblLook w:firstColumn="1" w:firstRow="1" w:lastColumn="0" w:lastRow="0" w:noHBand="0" w:noVBand="1" w:val="04A0"/>
      </w:tblPr>
      <w:tblGrid>
        <w:gridCol w:w="4646"/>
        <w:gridCol w:w="4646"/>
      </w:tblGrid>
      <w:tr>
        <w:tc>
          <w:tcPr>
            <w:tcW w:type="dxa" w:w="4252"/>
            <w:vAlign w:val="center"/>
            <w:shd w:fill="1F4E79"/>
          </w:tcPr>
          <w:p>
            <w:pPr>
              <w:jc w:val="center"/>
            </w:pPr>
            <w:r/>
            <w:r>
              <w:rPr>
                <w:rFonts w:ascii="宋体" w:hAnsi="宋体" w:eastAsia="宋体"/>
                <w:b/>
                <w:color w:val="FFFFFF"/>
                <w:sz w:val="20"/>
              </w:rPr>
              <w:t>指标</w:t>
            </w:r>
          </w:p>
        </w:tc>
        <w:tc>
          <w:tcPr>
            <w:tcW w:type="dxa" w:w="4252"/>
            <w:vAlign w:val="center"/>
            <w:shd w:fill="1F4E79"/>
          </w:tcPr>
          <w:p>
            <w:pPr>
              <w:jc w:val="center"/>
            </w:pPr>
            <w:r/>
            <w:r>
              <w:rPr>
                <w:rFonts w:ascii="宋体" w:hAnsi="宋体" w:eastAsia="宋体"/>
                <w:b/>
                <w:color w:val="FFFFFF"/>
                <w:sz w:val="20"/>
              </w:rPr>
              <w:t>结果</w:t>
            </w:r>
          </w:p>
        </w:tc>
      </w:tr>
      <w:tr>
        <w:tc>
          <w:tcPr>
            <w:tcW w:type="dxa" w:w="4252"/>
            <w:vAlign w:val="center"/>
          </w:tcPr>
          <w:p>
            <w:pPr>
              <w:jc w:val="center"/>
            </w:pPr>
            <w:r/>
            <w:r>
              <w:rPr>
                <w:rFonts w:ascii="宋体" w:hAnsi="宋体" w:eastAsia="宋体"/>
                <w:b w:val="0"/>
                <w:sz w:val="20"/>
              </w:rPr>
              <w:t>训练阶段最佳准确率</w:t>
            </w:r>
          </w:p>
        </w:tc>
        <w:tc>
          <w:tcPr>
            <w:tcW w:type="dxa" w:w="4252"/>
            <w:vAlign w:val="center"/>
          </w:tcPr>
          <w:p>
            <w:pPr>
              <w:jc w:val="center"/>
            </w:pPr>
            <w:r/>
            <w:r>
              <w:rPr>
                <w:rFonts w:ascii="宋体" w:hAnsi="宋体" w:eastAsia="宋体"/>
                <w:b w:val="0"/>
                <w:sz w:val="20"/>
              </w:rPr>
              <w:t>89.59%</w:t>
            </w:r>
          </w:p>
        </w:tc>
      </w:tr>
      <w:tr>
        <w:tc>
          <w:tcPr>
            <w:tcW w:type="dxa" w:w="4252"/>
            <w:vAlign w:val="center"/>
            <w:shd w:fill="DDEBF7"/>
          </w:tcPr>
          <w:p>
            <w:pPr>
              <w:jc w:val="center"/>
            </w:pPr>
            <w:r/>
            <w:r>
              <w:rPr>
                <w:rFonts w:ascii="宋体" w:hAnsi="宋体" w:eastAsia="宋体"/>
                <w:b w:val="0"/>
                <w:sz w:val="20"/>
              </w:rPr>
              <w:t>现场实测准确率</w:t>
            </w:r>
          </w:p>
        </w:tc>
        <w:tc>
          <w:tcPr>
            <w:tcW w:type="dxa" w:w="4252"/>
            <w:vAlign w:val="center"/>
            <w:shd w:fill="DDEBF7"/>
          </w:tcPr>
          <w:p>
            <w:pPr>
              <w:jc w:val="center"/>
            </w:pPr>
            <w:r/>
            <w:r>
              <w:rPr>
                <w:rFonts w:ascii="宋体" w:hAnsi="宋体" w:eastAsia="宋体"/>
                <w:b w:val="0"/>
                <w:sz w:val="20"/>
              </w:rPr>
              <w:t>60.00%</w:t>
            </w:r>
          </w:p>
        </w:tc>
      </w:tr>
      <w:tr>
        <w:tc>
          <w:tcPr>
            <w:tcW w:type="dxa" w:w="4252"/>
            <w:vAlign w:val="center"/>
          </w:tcPr>
          <w:p>
            <w:pPr>
              <w:jc w:val="center"/>
            </w:pPr>
            <w:r/>
            <w:r>
              <w:rPr>
                <w:rFonts w:ascii="宋体" w:hAnsi="宋体" w:eastAsia="宋体"/>
                <w:b w:val="0"/>
                <w:sz w:val="20"/>
              </w:rPr>
              <w:t>准确率差值</w:t>
            </w:r>
          </w:p>
        </w:tc>
        <w:tc>
          <w:tcPr>
            <w:tcW w:type="dxa" w:w="4252"/>
            <w:vAlign w:val="center"/>
          </w:tcPr>
          <w:p>
            <w:pPr>
              <w:jc w:val="center"/>
            </w:pPr>
            <w:r/>
            <w:r>
              <w:rPr>
                <w:rFonts w:ascii="宋体" w:hAnsi="宋体" w:eastAsia="宋体"/>
                <w:b w:val="0"/>
                <w:sz w:val="20"/>
              </w:rPr>
              <w:t>-29.59个百分点</w:t>
            </w:r>
          </w:p>
        </w:tc>
      </w:tr>
      <w:tr>
        <w:tc>
          <w:tcPr>
            <w:tcW w:type="dxa" w:w="4252"/>
            <w:vAlign w:val="center"/>
            <w:shd w:fill="DDEBF7"/>
          </w:tcPr>
          <w:p>
            <w:pPr>
              <w:jc w:val="center"/>
            </w:pPr>
            <w:r/>
            <w:r>
              <w:rPr>
                <w:rFonts w:ascii="宋体" w:hAnsi="宋体" w:eastAsia="宋体"/>
                <w:b w:val="0"/>
                <w:sz w:val="20"/>
              </w:rPr>
              <w:t>相对下降幅度</w:t>
            </w:r>
          </w:p>
        </w:tc>
        <w:tc>
          <w:tcPr>
            <w:tcW w:type="dxa" w:w="4252"/>
            <w:vAlign w:val="center"/>
            <w:shd w:fill="DDEBF7"/>
          </w:tcPr>
          <w:p>
            <w:pPr>
              <w:jc w:val="center"/>
            </w:pPr>
            <w:r/>
            <w:r>
              <w:rPr>
                <w:rFonts w:ascii="宋体" w:hAnsi="宋体" w:eastAsia="宋体"/>
                <w:b w:val="0"/>
                <w:sz w:val="20"/>
              </w:rPr>
              <w:t>约33.0%</w:t>
            </w:r>
          </w:p>
        </w:tc>
      </w:tr>
    </w:tbl>
    <w:p>
      <w:pPr>
        <w:spacing w:after="0"/>
      </w:pPr>
    </w:p>
    <w:p>
      <w:pPr>
        <w:ind w:firstLine="420"/>
        <w:jc w:val="both"/>
      </w:pPr>
      <w:r>
        <w:t>现场准确率明显低于训练阶段交叉验证结果，属于显著的训练与实测表现偏差。</w:t>
      </w:r>
    </w:p>
    <w:p>
      <w:pPr>
        <w:pStyle w:val="Heading1"/>
      </w:pPr>
      <w:r>
        <w:t>三、偏差原因分析</w:t>
      </w:r>
    </w:p>
    <w:p>
      <w:pPr>
        <w:pStyle w:val="Heading2"/>
      </w:pPr>
      <w:r>
        <w:t>3.1 主要原因：原分类体系划分不合理</w:t>
      </w:r>
    </w:p>
    <w:p>
      <w:pPr>
        <w:ind w:firstLine="420"/>
        <w:jc w:val="both"/>
      </w:pPr>
      <w:r>
        <w:t>经业务部门组织其他专家复核，确认原有14类分类方案存在初始分类错误以及类别划分过细的问题。部分故障类别之间的业务含义和特征表现高度相似，缺少清晰、可重复执行的区分标准。模型训练所使用的标签不能稳定反映样本真实类别，造成模型学习到的决策边界与现场专家实际判断标准不一致。该问题属于数据标签和分类标准问题，模型参数调整无法从根本上解决。</w:t>
      </w:r>
    </w:p>
    <w:p>
      <w:pPr>
        <w:pStyle w:val="Heading2"/>
      </w:pPr>
      <w:r>
        <w:t>3.2 类别边界模糊导致标签噪声</w:t>
      </w:r>
    </w:p>
    <w:p>
      <w:pPr>
        <w:ind w:firstLine="420"/>
        <w:jc w:val="both"/>
      </w:pPr>
      <w:r>
        <w:t>部分细分类别的故障现象和特征数据相似，同一故障在不同工况下可能被划分到不同类别，且类别定义可能依赖标注人员的主观经验。训练数据与现场实测数据采用的判断口径不完全一致，会形成标签噪声并造成较大实测偏差。</w:t>
      </w:r>
    </w:p>
    <w:p>
      <w:pPr>
        <w:pStyle w:val="Heading2"/>
      </w:pPr>
      <w:r>
        <w:t>3.3 类别划分过细，部分类型缺少可分性</w:t>
      </w:r>
    </w:p>
    <w:p>
      <w:pPr>
        <w:ind w:firstLine="420"/>
        <w:jc w:val="both"/>
      </w:pPr>
      <w:r>
        <w:t>如果两个故障类别在现有569个输入特征上的表现没有明显差异，即使业务名称不同，模型也难以建立稳定的分类边界。将难以区分的类别强行拆分，会使模型在相似类别之间频繁误判。将14类调整为8类，可以减少类别重叠，使类别定义与数据可表达的故障差异更加匹配。</w:t>
      </w:r>
    </w:p>
    <w:p>
      <w:pPr>
        <w:pStyle w:val="Heading2"/>
      </w:pPr>
      <w:r>
        <w:t>3.4 类别样本数量不均衡</w:t>
      </w:r>
    </w:p>
    <w:p>
      <w:pPr>
        <w:ind w:firstLine="420"/>
        <w:jc w:val="both"/>
      </w:pPr>
      <w:r>
        <w:t>训练数据中最大类别有263条样本，最小类别仅有5条样本，相差约52.6倍。样本过少的类别难以覆盖真实故障的变化范围。类别不均衡不是本次问题的唯一原因，但会进一步放大分类边界模糊和标签错误造成的影响。</w:t>
      </w:r>
    </w:p>
    <w:p>
      <w:pPr>
        <w:pStyle w:val="Heading2"/>
      </w:pPr>
      <w:r>
        <w:t>3.5 训练验证集与现场数据评价条件存在差异</w:t>
      </w:r>
    </w:p>
    <w:p>
      <w:pPr>
        <w:ind w:firstLine="420"/>
        <w:jc w:val="both"/>
      </w:pPr>
      <w:r>
        <w:t>五折交叉验证是在同一批历史数据内划分，训练集和验证集通常具有相近的数据来源、标注方式和分布。现场数据可能在时间范围、设备状态、运行工况和专家判断口径等方面存在差异，原标签体系中的问题会在独立现场数据上集中体现。</w:t>
      </w:r>
    </w:p>
    <w:p>
      <w:pPr>
        <w:pStyle w:val="Heading1"/>
      </w:pPr>
      <w:r>
        <w:t>四、根因结论</w:t>
      </w:r>
    </w:p>
    <w:p>
      <w:pPr>
        <w:ind w:firstLine="420"/>
        <w:jc w:val="both"/>
      </w:pPr>
      <w:r>
        <w:t>综合训练日志、现场实测结果以及业务专家复核意见，本次准确率偏差的主要原因是原故障分类体系和标签质量不满足建模要求，具体表现如下：</w:t>
      </w:r>
    </w:p>
    <w:p>
      <w:pPr>
        <w:pStyle w:val="ListNumber"/>
        <w:ind w:left="420" w:hanging="420"/>
      </w:pPr>
      <w:r>
        <w:t>原14类分类方案划分过细，部分类别之间缺少明确边界；</w:t>
      </w:r>
    </w:p>
    <w:p>
      <w:pPr>
        <w:pStyle w:val="ListNumber"/>
        <w:ind w:left="420" w:hanging="420"/>
      </w:pPr>
      <w:r>
        <w:t>初始标注存在分类错误，标签不能稳定反映故障真实类别；</w:t>
      </w:r>
    </w:p>
    <w:p>
      <w:pPr>
        <w:pStyle w:val="ListNumber"/>
        <w:ind w:left="420" w:hanging="420"/>
      </w:pPr>
      <w:r>
        <w:t>不同标注人员或不同阶段采用的分类口径可能不一致；</w:t>
      </w:r>
    </w:p>
    <w:p>
      <w:pPr>
        <w:pStyle w:val="ListNumber"/>
        <w:ind w:left="420" w:hanging="420"/>
      </w:pPr>
      <w:r>
        <w:t>部分类别样本数量严重不足，进一步降低了模型泛化能力；</w:t>
      </w:r>
    </w:p>
    <w:p>
      <w:pPr>
        <w:pStyle w:val="ListNumber"/>
        <w:ind w:left="420" w:hanging="420"/>
      </w:pPr>
      <w:r>
        <w:t>训练日志仅记录到13个有效标签，与原14类业务口径不一致。</w:t>
      </w:r>
    </w:p>
    <w:p>
      <w:pPr>
        <w:ind w:firstLine="420"/>
        <w:jc w:val="both"/>
      </w:pPr>
      <w:r>
        <w:t>因此，本次问题不宜简单归因于模型算法能力不足。继续基于原标签调整模型参数，预计无法从根本上提高现场实测准确率。当前合理的处理方式是先完成分类体系修订和数据重新标注，再重新训练与验证模型。</w:t>
      </w:r>
    </w:p>
    <w:p>
      <w:pPr>
        <w:pStyle w:val="Heading1"/>
      </w:pPr>
      <w:r>
        <w:t>五、整改方案</w:t>
      </w:r>
    </w:p>
    <w:p>
      <w:pPr>
        <w:pStyle w:val="Heading2"/>
      </w:pPr>
      <w:r>
        <w:t>5.1 修订分类标准</w:t>
      </w:r>
    </w:p>
    <w:p>
      <w:pPr>
        <w:ind w:firstLine="420"/>
        <w:jc w:val="both"/>
      </w:pPr>
      <w:r>
        <w:t>由业务部门和领域专家共同确认新的8类分类体系，并形成正式的标签定义文档。每个类别应明确类别名称、业务含义、必要判定条件、与相似类别的区别、边界样本处理规则及原14类到新8类的映射关系。在标准正式确认前，不建议直接批量合并原标签，因为原始标签本身存在错误，简单映射可能将错误继续带入新数据集。</w:t>
      </w:r>
    </w:p>
    <w:p>
      <w:pPr>
        <w:pStyle w:val="Heading2"/>
      </w:pPr>
      <w:r>
        <w:t>5.2 重新标注训练及实测数据</w:t>
      </w:r>
    </w:p>
    <w:p>
      <w:pPr>
        <w:ind w:firstLine="420"/>
        <w:jc w:val="both"/>
      </w:pPr>
      <w:r>
        <w:t>按照新的8类标准对历史训练样本和现场实测样本重新标注。建议由两名专家独立标注，对不一致样本进行复核；边界不清或证据不足的样本暂不纳入训练；保留原标签、新标签、标注人员、标注时间和复核结论，并统计双人标注一致率。</w:t>
      </w:r>
    </w:p>
    <w:p>
      <w:pPr>
        <w:pStyle w:val="Heading2"/>
      </w:pPr>
      <w:r>
        <w:t>5.3 开展数据质量检查</w:t>
      </w:r>
    </w:p>
    <w:p>
      <w:pPr>
        <w:ind w:firstLine="420"/>
        <w:jc w:val="both"/>
      </w:pPr>
      <w:r>
        <w:t>确认8个类别均有有效样本，核对标签编码与业务类别的一一对应关系，检查重复样本、冲突标签和异常样本，统计各类别样本数量及占比。应避免同一设备、同一事件或同一数据片段同时进入训练集和测试集，并建立独立且不参与训练的现场测试集。</w:t>
      </w:r>
    </w:p>
    <w:p>
      <w:pPr>
        <w:pStyle w:val="Heading2"/>
      </w:pPr>
      <w:r>
        <w:t>5.4 重新训练模型</w:t>
      </w:r>
    </w:p>
    <w:p>
      <w:pPr>
        <w:ind w:firstLine="420"/>
        <w:jc w:val="both"/>
      </w:pPr>
      <w:r>
        <w:t>完成重新标注后，继续使用现有成熟训练流程，对多种模型进行对比。除准确率外，应同时评估Macro Precision、Macro Recall、Macro F1、各类别召回率和混淆矩阵。对于类别不均衡问题，应重点关注Macro F1和各类别召回率。</w:t>
      </w:r>
    </w:p>
    <w:p>
      <w:pPr>
        <w:pStyle w:val="Heading2"/>
      </w:pPr>
      <w:r>
        <w:t>5.5 重新开展现场实测</w:t>
      </w:r>
    </w:p>
    <w:p>
      <w:pPr>
        <w:ind w:firstLine="420"/>
        <w:jc w:val="both"/>
      </w:pPr>
      <w:r>
        <w:t>重新训练后的模型必须使用独立现场数据进行验证。现场测试数据不得参与训练、特征选择或参数调优。测试结果应按类别分别统计，重点确认原14类中容易混淆的类别在合并后是否得到改善。</w:t>
      </w:r>
    </w:p>
    <w:p>
      <w:pPr>
        <w:pStyle w:val="Heading1"/>
      </w:pPr>
      <w:r>
        <w:t>六、建议验收标准</w:t>
      </w:r>
    </w:p>
    <w:p>
      <w:pPr>
        <w:ind w:firstLine="420"/>
        <w:jc w:val="both"/>
      </w:pPr>
      <w:r>
        <w:t>以下指标可作为下一轮模型验收的参考，最终标准由项目和业务部门共同确认。</w:t>
      </w:r>
    </w:p>
    <w:tbl>
      <w:tblPr>
        <w:tblStyle w:val="TableGrid"/>
        <w:tblW w:type="auto" w:w="0"/>
        <w:jc w:val="center"/>
        <w:tblLook w:firstColumn="1" w:firstRow="1" w:lastColumn="0" w:lastRow="0" w:noHBand="0" w:noVBand="1" w:val="04A0"/>
      </w:tblPr>
      <w:tblGrid>
        <w:gridCol w:w="4646"/>
        <w:gridCol w:w="4646"/>
      </w:tblGrid>
      <w:tr>
        <w:tc>
          <w:tcPr>
            <w:tcW w:type="dxa" w:w="3402"/>
            <w:vAlign w:val="center"/>
            <w:shd w:fill="1F4E79"/>
          </w:tcPr>
          <w:p>
            <w:pPr>
              <w:jc w:val="center"/>
            </w:pPr>
            <w:r/>
            <w:r>
              <w:rPr>
                <w:rFonts w:ascii="宋体" w:hAnsi="宋体" w:eastAsia="宋体"/>
                <w:b/>
                <w:color w:val="FFFFFF"/>
                <w:sz w:val="20"/>
              </w:rPr>
              <w:t>验收项</w:t>
            </w:r>
          </w:p>
        </w:tc>
        <w:tc>
          <w:tcPr>
            <w:tcW w:type="dxa" w:w="5102"/>
            <w:vAlign w:val="center"/>
            <w:shd w:fill="1F4E79"/>
          </w:tcPr>
          <w:p>
            <w:pPr>
              <w:jc w:val="center"/>
            </w:pPr>
            <w:r/>
            <w:r>
              <w:rPr>
                <w:rFonts w:ascii="宋体" w:hAnsi="宋体" w:eastAsia="宋体"/>
                <w:b/>
                <w:color w:val="FFFFFF"/>
                <w:sz w:val="20"/>
              </w:rPr>
              <w:t>建议要求</w:t>
            </w:r>
          </w:p>
        </w:tc>
      </w:tr>
      <w:tr>
        <w:tc>
          <w:tcPr>
            <w:tcW w:type="dxa" w:w="3402"/>
            <w:vAlign w:val="center"/>
          </w:tcPr>
          <w:p>
            <w:pPr>
              <w:jc w:val="center"/>
            </w:pPr>
            <w:r/>
            <w:r>
              <w:rPr>
                <w:rFonts w:ascii="宋体" w:hAnsi="宋体" w:eastAsia="宋体"/>
                <w:b w:val="0"/>
                <w:sz w:val="20"/>
              </w:rPr>
              <w:t>新分类体系</w:t>
            </w:r>
          </w:p>
        </w:tc>
        <w:tc>
          <w:tcPr>
            <w:tcW w:type="dxa" w:w="5102"/>
            <w:vAlign w:val="center"/>
          </w:tcPr>
          <w:p>
            <w:pPr>
              <w:jc w:val="center"/>
            </w:pPr>
            <w:r/>
            <w:r>
              <w:rPr>
                <w:rFonts w:ascii="宋体" w:hAnsi="宋体" w:eastAsia="宋体"/>
                <w:b w:val="0"/>
                <w:sz w:val="20"/>
              </w:rPr>
              <w:t>8类定义完整，专家评审通过</w:t>
            </w:r>
          </w:p>
        </w:tc>
      </w:tr>
      <w:tr>
        <w:tc>
          <w:tcPr>
            <w:tcW w:type="dxa" w:w="3402"/>
            <w:vAlign w:val="center"/>
            <w:shd w:fill="DDEBF7"/>
          </w:tcPr>
          <w:p>
            <w:pPr>
              <w:jc w:val="center"/>
            </w:pPr>
            <w:r/>
            <w:r>
              <w:rPr>
                <w:rFonts w:ascii="宋体" w:hAnsi="宋体" w:eastAsia="宋体"/>
                <w:b w:val="0"/>
                <w:sz w:val="20"/>
              </w:rPr>
              <w:t>标签完整性</w:t>
            </w:r>
          </w:p>
        </w:tc>
        <w:tc>
          <w:tcPr>
            <w:tcW w:type="dxa" w:w="5102"/>
            <w:vAlign w:val="center"/>
            <w:shd w:fill="DDEBF7"/>
          </w:tcPr>
          <w:p>
            <w:pPr>
              <w:jc w:val="center"/>
            </w:pPr>
            <w:r/>
            <w:r>
              <w:rPr>
                <w:rFonts w:ascii="宋体" w:hAnsi="宋体" w:eastAsia="宋体"/>
                <w:b w:val="0"/>
                <w:sz w:val="20"/>
              </w:rPr>
              <w:t>标签映射正确，无缺失类别</w:t>
            </w:r>
          </w:p>
        </w:tc>
      </w:tr>
      <w:tr>
        <w:tc>
          <w:tcPr>
            <w:tcW w:type="dxa" w:w="3402"/>
            <w:vAlign w:val="center"/>
          </w:tcPr>
          <w:p>
            <w:pPr>
              <w:jc w:val="center"/>
            </w:pPr>
            <w:r/>
            <w:r>
              <w:rPr>
                <w:rFonts w:ascii="宋体" w:hAnsi="宋体" w:eastAsia="宋体"/>
                <w:b w:val="0"/>
                <w:sz w:val="20"/>
              </w:rPr>
              <w:t>双人标注一致率</w:t>
            </w:r>
          </w:p>
        </w:tc>
        <w:tc>
          <w:tcPr>
            <w:tcW w:type="dxa" w:w="5102"/>
            <w:vAlign w:val="center"/>
          </w:tcPr>
          <w:p>
            <w:pPr>
              <w:jc w:val="center"/>
            </w:pPr>
            <w:r/>
            <w:r>
              <w:rPr>
                <w:rFonts w:ascii="宋体" w:hAnsi="宋体" w:eastAsia="宋体"/>
                <w:b w:val="0"/>
                <w:sz w:val="20"/>
              </w:rPr>
              <w:t>不低于90%</w:t>
            </w:r>
          </w:p>
        </w:tc>
      </w:tr>
      <w:tr>
        <w:tc>
          <w:tcPr>
            <w:tcW w:type="dxa" w:w="3402"/>
            <w:vAlign w:val="center"/>
            <w:shd w:fill="DDEBF7"/>
          </w:tcPr>
          <w:p>
            <w:pPr>
              <w:jc w:val="center"/>
            </w:pPr>
            <w:r/>
            <w:r>
              <w:rPr>
                <w:rFonts w:ascii="宋体" w:hAnsi="宋体" w:eastAsia="宋体"/>
                <w:b w:val="0"/>
                <w:sz w:val="20"/>
              </w:rPr>
              <w:t>测试数据</w:t>
            </w:r>
          </w:p>
        </w:tc>
        <w:tc>
          <w:tcPr>
            <w:tcW w:type="dxa" w:w="5102"/>
            <w:vAlign w:val="center"/>
            <w:shd w:fill="DDEBF7"/>
          </w:tcPr>
          <w:p>
            <w:pPr>
              <w:jc w:val="center"/>
            </w:pPr>
            <w:r/>
            <w:r>
              <w:rPr>
                <w:rFonts w:ascii="宋体" w:hAnsi="宋体" w:eastAsia="宋体"/>
                <w:b w:val="0"/>
                <w:sz w:val="20"/>
              </w:rPr>
              <w:t>独立于训练数据，不存在样本泄漏</w:t>
            </w:r>
          </w:p>
        </w:tc>
      </w:tr>
      <w:tr>
        <w:tc>
          <w:tcPr>
            <w:tcW w:type="dxa" w:w="3402"/>
            <w:vAlign w:val="center"/>
          </w:tcPr>
          <w:p>
            <w:pPr>
              <w:jc w:val="center"/>
            </w:pPr>
            <w:r/>
            <w:r>
              <w:rPr>
                <w:rFonts w:ascii="宋体" w:hAnsi="宋体" w:eastAsia="宋体"/>
                <w:b w:val="0"/>
                <w:sz w:val="20"/>
              </w:rPr>
              <w:t>现场总体准确率</w:t>
            </w:r>
          </w:p>
        </w:tc>
        <w:tc>
          <w:tcPr>
            <w:tcW w:type="dxa" w:w="5102"/>
            <w:vAlign w:val="center"/>
          </w:tcPr>
          <w:p>
            <w:pPr>
              <w:jc w:val="center"/>
            </w:pPr>
            <w:r/>
            <w:r>
              <w:rPr>
                <w:rFonts w:ascii="宋体" w:hAnsi="宋体" w:eastAsia="宋体"/>
                <w:b w:val="0"/>
                <w:sz w:val="20"/>
              </w:rPr>
              <w:t>达到项目约定目标</w:t>
            </w:r>
          </w:p>
        </w:tc>
      </w:tr>
      <w:tr>
        <w:tc>
          <w:tcPr>
            <w:tcW w:type="dxa" w:w="3402"/>
            <w:vAlign w:val="center"/>
            <w:shd w:fill="DDEBF7"/>
          </w:tcPr>
          <w:p>
            <w:pPr>
              <w:jc w:val="center"/>
            </w:pPr>
            <w:r/>
            <w:r>
              <w:rPr>
                <w:rFonts w:ascii="宋体" w:hAnsi="宋体" w:eastAsia="宋体"/>
                <w:b w:val="0"/>
                <w:sz w:val="20"/>
              </w:rPr>
              <w:t>Macro F1</w:t>
            </w:r>
          </w:p>
        </w:tc>
        <w:tc>
          <w:tcPr>
            <w:tcW w:type="dxa" w:w="5102"/>
            <w:vAlign w:val="center"/>
            <w:shd w:fill="DDEBF7"/>
          </w:tcPr>
          <w:p>
            <w:pPr>
              <w:jc w:val="center"/>
            </w:pPr>
            <w:r/>
            <w:r>
              <w:rPr>
                <w:rFonts w:ascii="宋体" w:hAnsi="宋体" w:eastAsia="宋体"/>
                <w:b w:val="0"/>
                <w:sz w:val="20"/>
              </w:rPr>
              <w:t>达到项目约定目标</w:t>
            </w:r>
          </w:p>
        </w:tc>
      </w:tr>
      <w:tr>
        <w:tc>
          <w:tcPr>
            <w:tcW w:type="dxa" w:w="3402"/>
            <w:vAlign w:val="center"/>
          </w:tcPr>
          <w:p>
            <w:pPr>
              <w:jc w:val="center"/>
            </w:pPr>
            <w:r/>
            <w:r>
              <w:rPr>
                <w:rFonts w:ascii="宋体" w:hAnsi="宋体" w:eastAsia="宋体"/>
                <w:b w:val="0"/>
                <w:sz w:val="20"/>
              </w:rPr>
              <w:t>单类别召回率</w:t>
            </w:r>
          </w:p>
        </w:tc>
        <w:tc>
          <w:tcPr>
            <w:tcW w:type="dxa" w:w="5102"/>
            <w:vAlign w:val="center"/>
          </w:tcPr>
          <w:p>
            <w:pPr>
              <w:jc w:val="center"/>
            </w:pPr>
            <w:r/>
            <w:r>
              <w:rPr>
                <w:rFonts w:ascii="宋体" w:hAnsi="宋体" w:eastAsia="宋体"/>
                <w:b w:val="0"/>
                <w:sz w:val="20"/>
              </w:rPr>
              <w:t>不低于约定下限</w:t>
            </w:r>
          </w:p>
        </w:tc>
      </w:tr>
      <w:tr>
        <w:tc>
          <w:tcPr>
            <w:tcW w:type="dxa" w:w="3402"/>
            <w:vAlign w:val="center"/>
            <w:shd w:fill="DDEBF7"/>
          </w:tcPr>
          <w:p>
            <w:pPr>
              <w:jc w:val="center"/>
            </w:pPr>
            <w:r/>
            <w:r>
              <w:rPr>
                <w:rFonts w:ascii="宋体" w:hAnsi="宋体" w:eastAsia="宋体"/>
                <w:b w:val="0"/>
                <w:sz w:val="20"/>
              </w:rPr>
              <w:t>训练与实测准确率差值</w:t>
            </w:r>
          </w:p>
        </w:tc>
        <w:tc>
          <w:tcPr>
            <w:tcW w:type="dxa" w:w="5102"/>
            <w:vAlign w:val="center"/>
            <w:shd w:fill="DDEBF7"/>
          </w:tcPr>
          <w:p>
            <w:pPr>
              <w:jc w:val="center"/>
            </w:pPr>
            <w:r/>
            <w:r>
              <w:rPr>
                <w:rFonts w:ascii="宋体" w:hAnsi="宋体" w:eastAsia="宋体"/>
                <w:b w:val="0"/>
                <w:sz w:val="20"/>
              </w:rPr>
              <w:t>建议控制在10个百分点以内</w:t>
            </w:r>
          </w:p>
        </w:tc>
      </w:tr>
      <w:tr>
        <w:tc>
          <w:tcPr>
            <w:tcW w:type="dxa" w:w="3402"/>
            <w:vAlign w:val="center"/>
          </w:tcPr>
          <w:p>
            <w:pPr>
              <w:jc w:val="center"/>
            </w:pPr>
            <w:r/>
            <w:r>
              <w:rPr>
                <w:rFonts w:ascii="宋体" w:hAnsi="宋体" w:eastAsia="宋体"/>
                <w:b w:val="0"/>
                <w:sz w:val="20"/>
              </w:rPr>
              <w:t>复测稳定性</w:t>
            </w:r>
          </w:p>
        </w:tc>
        <w:tc>
          <w:tcPr>
            <w:tcW w:type="dxa" w:w="5102"/>
            <w:vAlign w:val="center"/>
          </w:tcPr>
          <w:p>
            <w:pPr>
              <w:jc w:val="center"/>
            </w:pPr>
            <w:r/>
            <w:r>
              <w:rPr>
                <w:rFonts w:ascii="宋体" w:hAnsi="宋体" w:eastAsia="宋体"/>
                <w:b w:val="0"/>
                <w:sz w:val="20"/>
              </w:rPr>
              <w:t>不同批次结果无明显异常波动</w:t>
            </w:r>
          </w:p>
        </w:tc>
      </w:tr>
    </w:tbl>
    <w:p>
      <w:pPr>
        <w:spacing w:after="0"/>
      </w:pPr>
    </w:p>
    <w:p>
      <w:pPr>
        <w:pStyle w:val="Heading1"/>
      </w:pPr>
      <w:r>
        <w:t>七、风险及后续关注事项</w:t>
      </w:r>
    </w:p>
    <w:p>
      <w:pPr>
        <w:pStyle w:val="ListNumber"/>
        <w:ind w:left="420" w:hanging="420"/>
      </w:pPr>
      <w:r>
        <w:t>如果只将原14类机械合并为8类，而不对原始错误标签进行复核，标签质量问题可能继续存在。</w:t>
      </w:r>
    </w:p>
    <w:p>
      <w:pPr>
        <w:pStyle w:val="ListNumber"/>
        <w:ind w:left="420" w:hanging="420"/>
      </w:pPr>
      <w:r>
        <w:t>如果个别新类别样本仍然过少，模型对该类别的识别能力仍可能不足。</w:t>
      </w:r>
    </w:p>
    <w:p>
      <w:pPr>
        <w:pStyle w:val="ListNumber"/>
        <w:ind w:left="420" w:hanging="420"/>
      </w:pPr>
      <w:r>
        <w:t>如果重新标注只覆盖训练集而未同步修订实测集，训练和评价口径仍会不一致。</w:t>
      </w:r>
    </w:p>
    <w:p>
      <w:pPr>
        <w:pStyle w:val="ListNumber"/>
        <w:ind w:left="420" w:hanging="420"/>
      </w:pPr>
      <w:r>
        <w:t>如果训练集和测试集按样本随机划分，来自同一故障事件的相似数据可能造成内部验证结果偏高。</w:t>
      </w:r>
    </w:p>
    <w:p>
      <w:pPr>
        <w:pStyle w:val="ListNumber"/>
        <w:ind w:left="420" w:hanging="420"/>
      </w:pPr>
      <w:r>
        <w:t>新分类体系投入使用后，应定期抽检现场误判样本并更新标签规则。</w:t>
      </w:r>
    </w:p>
    <w:p>
      <w:pPr>
        <w:pStyle w:val="Heading1"/>
      </w:pPr>
      <w:r>
        <w:t>八、最终结论</w:t>
      </w:r>
    </w:p>
    <w:p>
      <w:pPr>
        <w:ind w:firstLine="420"/>
        <w:jc w:val="both"/>
      </w:pPr>
      <w:r>
        <w:t>本次14003故障分类模型在训练阶段取得89.59%的交叉验证准确率，但现场实测准确率仅为60%，下降29.59个百分点。结合不同模型的训练表现和业务专家复核结论，偏差的主要原因是原14类分类体系划分过细、类别边界模糊及初始标签存在错误，类别样本不均衡和训练、实测数据分布差异进一步放大了该问题。</w:t>
      </w:r>
    </w:p>
    <w:p>
      <w:pPr>
        <w:ind w:firstLine="420"/>
        <w:jc w:val="both"/>
      </w:pPr>
      <w:r>
        <w:t>业务部门已将分类体系由14类调整为8类。下一阶段应先统一分类标准，对历史数据和实测数据重新标注并完成标签质量审核，再重新训练模型和开展独立现场验证。在新标签数据完成前，不建议继续以原标签体系下的模型结果作为模型能力或项目最终效果的评价依据。</w:t>
      </w:r>
    </w:p>
    <w:p>
      <w:pPr>
        <w:spacing w:before="360"/>
      </w:pPr>
      <w:r>
        <w:rPr>
          <w:i/>
          <w:color w:val="7F7F7F"/>
          <w:sz w:val="18"/>
        </w:rPr>
        <w:t>数据来源：Platform\logs\20260520_145701\train\training.log</w:t>
      </w:r>
    </w:p>
    <w:sectPr w:rsidR="00FC693F" w:rsidRPr="0006063C" w:rsidSect="00034616">
      <w:headerReference w:type="default" r:id="rId9"/>
      <w:footerReference w:type="default" r:id="rId10"/>
      <w:pgSz w:w="12240" w:h="15840"/>
      <w:pgMar w:top="1417" w:right="1474" w:bottom="1304"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color w:val="7F7F7F"/>
        <w:sz w:val="18"/>
      </w:rPr>
      <w:t>14003故障分类模型实测偏差分析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黑体" w:hAnsi="黑体" w:eastAsia="黑体"/>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14003故障分类模型实测偏差分析报告</dc:title>
  <dc:subject>模型训练与现场实测偏差分析</dc:subject>
  <dc:creator>故障诊断项目组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