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52"/>
                <w:szCs w:val="52"/>
              </w:rPr>
              <w:t xml:space="preserve">BLINKIT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Sales Performance — Executive Summary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EB6BF"/>
                <w:sz w:val="20"/>
                <w:szCs w:val="20"/>
              </w:rPr>
              <w:t xml:space="preserve">India's Last Minute App  |  Dashboard Analysis Report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D4AC0D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1. Key Performance Indicators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following headline metrics represent the aggregate performance across all outlet types, locations, and item categories on the Blinkit platform.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6"/>
                <w:szCs w:val="36"/>
              </w:rPr>
              <w:t xml:space="preserve">$1.20M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Total Sales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All channels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6"/>
                <w:szCs w:val="36"/>
              </w:rPr>
              <w:t xml:space="preserve">$141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Average Sales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Per transaction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6"/>
                <w:szCs w:val="36"/>
              </w:rPr>
              <w:t xml:space="preserve">8,523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No. of Items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Active SKUs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6"/>
                <w:szCs w:val="36"/>
              </w:rPr>
              <w:t xml:space="preserve">3.9 /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Average Rating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6"/>
                <w:szCs w:val="16"/>
              </w:rPr>
              <w:t xml:space="preserve">Customer satisfaction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D4AC0D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2. Outlet Establishment &amp; Growth Trend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outlet establishment timeline reveals a clear growth arc across the decade, reflecting Blinkit's market expansion and consolidation strategy.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6000"/>
      </w:tblGrid>
      <w:tr>
        <w:trPr>
          <w:tblHeader/>
        </w:trPr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 Observation</w:t>
            </w:r>
          </w:p>
        </w:tc>
      </w:tr>
      <w:tr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2012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$78K</w:t>
            </w:r>
          </w:p>
        </w:tc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Early-stage market entry</w:t>
            </w:r>
          </w:p>
        </w:tc>
      </w:tr>
      <w:tr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2014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$130K</w:t>
            </w:r>
          </w:p>
        </w:tc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+67% growth from launch — rapid initial scaling</w:t>
            </w:r>
          </w:p>
        </w:tc>
      </w:tr>
      <w:tr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2016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$132K</w:t>
            </w:r>
          </w:p>
        </w:tc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Stable growth, market penetration deepening</w:t>
            </w:r>
          </w:p>
        </w:tc>
      </w:tr>
      <w:tr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2017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$131K</w:t>
            </w:r>
          </w:p>
        </w:tc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Plateau — operational consolidation phase</w:t>
            </w:r>
          </w:p>
        </w:tc>
      </w:tr>
      <w:tr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2018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$133K → $205K</w:t>
            </w:r>
          </w:p>
        </w:tc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Peak performance — highest revenue on record</w:t>
            </w:r>
          </w:p>
        </w:tc>
      </w:tr>
      <w:tr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2020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$129K</w:t>
            </w:r>
          </w:p>
        </w:tc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Post-peak normalization, likely COVID-19 impact</w:t>
            </w:r>
          </w:p>
        </w:tc>
      </w:tr>
      <w:tr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2022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$131K</w:t>
            </w:r>
          </w:p>
        </w:tc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Recovery stabilization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Key Insight — Growth Trajectory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2018 marked the platform's peak at $205K, representing a 163% increase from the 2012 baseline. Post-2018 contraction suggests market saturation and external macro pressures. The stabilization at ~$131K by 2022 indicates a resilient, albeit plateau-phase, business.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D4AC0D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3. Product Fat Content — Sales Contribution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fat content breakdown reveals consumer purchasing preferences and product-category health trends across all tiers.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 Category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 Volume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 of Total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Regular Fat Products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$776.32K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~65% of total sales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Low Fat Products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$425.36K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~35% of total sales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Key Insight — Fat Content Preference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Regular fat products dominate at 65% of sales, suggesting mainstream consumer preference. However, low-fat products at 35% reflect a meaningful and growing health-conscious segment — a strategic opportunity for SKU expansion in better-for-you categories.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Fat Content by Outlet Tier: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800"/>
        <w:gridCol w:w="4200"/>
      </w:tblGrid>
      <w:tr>
        <w:trPr>
          <w:tblHeader/>
        </w:trPr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Regular Fat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Fat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Tier 3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$0.31M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$0.17M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Highest absolute sales; strong regular-fat demand</w:t>
            </w:r>
          </w:p>
        </w:tc>
      </w:tr>
      <w:tr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Tier 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$0.25M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$0.14M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Mid-tier consistent split</w:t>
            </w:r>
          </w:p>
        </w:tc>
      </w:tr>
      <w:tr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Tier 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$0.22M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$0.12M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Lowest volume; premium market potential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D4AC0D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4. Item Type Revenue Performance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Revenue by product category reveals the top-performing segments and identifies underperforming areas that may benefit from promotional investment.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520"/>
        <w:gridCol w:w="1440"/>
        <w:gridCol w:w="4680"/>
      </w:tblGrid>
      <w:tr>
        <w:trPr>
          <w:tblHeader/>
        </w:trPr>
        <w:tc>
          <w:tcPr>
            <w:tcW w:type="dxa" w:w="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Category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Priority</w:t>
            </w:r>
          </w:p>
        </w:tc>
      </w:tr>
      <w:tr>
        <w:tc>
          <w:tcPr>
            <w:tcW w:type="dxa" w:w="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Fruits &amp; Vegetables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$0.18M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Top performer — high demand, perishable logistics key</w:t>
            </w:r>
          </w:p>
        </w:tc>
      </w:tr>
      <w:tr>
        <w:tc>
          <w:tcPr>
            <w:tcW w:type="dxa" w:w="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Snack Foods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$0.18M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Co-leader — impulse-buy driven, high margin potential</w:t>
            </w:r>
          </w:p>
        </w:tc>
      </w:tr>
      <w:tr>
        <w:tc>
          <w:tcPr>
            <w:tcW w:type="dxa" w:w="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Household Products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$0.14M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Consistent necessity-driven demand</w:t>
            </w:r>
          </w:p>
        </w:tc>
      </w:tr>
      <w:tr>
        <w:tc>
          <w:tcPr>
            <w:tcW w:type="dxa" w:w="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Frozen Foods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$0.12M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Growth category — cold-chain investment opportunity</w:t>
            </w:r>
          </w:p>
        </w:tc>
      </w:tr>
      <w:tr>
        <w:tc>
          <w:tcPr>
            <w:tcW w:type="dxa" w:w="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Dairy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$0.10M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Stable recurring purchases</w:t>
            </w:r>
          </w:p>
        </w:tc>
      </w:tr>
      <w:tr>
        <w:tc>
          <w:tcPr>
            <w:tcW w:type="dxa" w:w="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Canned Goods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$0.09M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Shelf-stable, efficient logistics</w:t>
            </w:r>
          </w:p>
        </w:tc>
      </w:tr>
      <w:tr>
        <w:tc>
          <w:tcPr>
            <w:tcW w:type="dxa" w:w="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Baking Goods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$0.08M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Mid-tier; seasonal promotion potential</w:t>
            </w:r>
          </w:p>
        </w:tc>
      </w:tr>
      <w:tr>
        <w:tc>
          <w:tcPr>
            <w:tcW w:type="dxa" w:w="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Health &amp; Hygiene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$0.07M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Growth potential with wellness trends</w:t>
            </w:r>
          </w:p>
        </w:tc>
      </w:tr>
      <w:tr>
        <w:tc>
          <w:tcPr>
            <w:tcW w:type="dxa" w:w="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Meat Products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$0.06M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Niche — expand cold chain to grow</w:t>
            </w:r>
          </w:p>
        </w:tc>
      </w:tr>
      <w:tr>
        <w:tc>
          <w:tcPr>
            <w:tcW w:type="dxa" w:w="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Soft Drinks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$0.06M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Steady demand; bundling opportunity</w:t>
            </w:r>
          </w:p>
        </w:tc>
      </w:tr>
      <w:tr>
        <w:tc>
          <w:tcPr>
            <w:tcW w:type="dxa" w:w="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11–16</w:t>
            </w:r>
          </w:p>
        </w:tc>
        <w:tc>
          <w:tcPr>
            <w:tcW w:type="dxa" w:w="2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Breads, Hard Drinks, Others, Starchy, Breakfast, Seafood</w:t>
            </w:r>
          </w:p>
        </w:tc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$0.01–0.04M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Tail categories — review for profitability or discontinuation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D4AC0D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5. Outlet Size &amp; Location Analysis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5a. Outlet Size Distribution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Three outlet size tiers exist across the network: Medium, Small, and High (large-format).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Outlet Size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Contribution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$507.90K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Dominant contributor (~42%) — optimal size-to-revenue ratio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 (Large)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$444.79K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Strong performer — flagship store economics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Small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$248.99K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Lowest share; highest per-unit cost, best for dense urban areas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5b. Outlet Location (Tier Distribution)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200"/>
        <w:gridCol w:w="4800"/>
      </w:tblGrid>
      <w:tr>
        <w:trPr>
          <w:tblHeader/>
        </w:trPr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Tier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Share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Tier 3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$472.13K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~39%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Largest revenue contributor — strong semi-urban/rural demand</w:t>
            </w:r>
          </w:p>
        </w:tc>
      </w:tr>
      <w:tr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Tier 2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$393.15K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~33%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Solid mid-market presence</w:t>
            </w:r>
          </w:p>
        </w:tc>
      </w:tr>
      <w:tr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Tier 1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$336.40K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~28%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Premium urban markets; lower volume but higher per-basket value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Key Insight — Tier 3 Opportunity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Counter-intuitively, Tier 3 (semi-urban/rural) locations generate the highest absolute revenue at $472K. This challenges the assumption that urban-first strategies drive the most value. Blinkit's quick-commerce model resonates strongly in underserved Tier 3 markets where traditional retail access is limited.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D4AC0D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6. Outlet Type Detailed Breakdown</w:t>
      </w:r>
    </w:p>
    <w:p>
      <w:pPr>
        <w:spacing w:before="6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Four outlet types serve the Blinkit network. Supermarket Type 1 is the clear revenue anchor of the business.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1560"/>
        <w:gridCol w:w="1320"/>
        <w:gridCol w:w="1560"/>
        <w:gridCol w:w="1320"/>
        <w:gridCol w:w="1320"/>
      </w:tblGrid>
      <w:tr>
        <w:trPr>
          <w:tblHeader/>
        </w:trPr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Outlet Type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1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Sales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of Items</w:t>
            </w:r>
          </w:p>
        </w:tc>
        <w:tc>
          <w:tcPr>
            <w:tcW w:type="dxa" w:w="1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Rating</w:t>
            </w:r>
          </w:p>
        </w:tc>
        <w:tc>
          <w:tcPr>
            <w:tcW w:type="dxa" w:w="1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Visibility</w:t>
            </w:r>
          </w:p>
        </w:tc>
      </w:tr>
      <w:tr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Supermarket Type 1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$787.55K</w:t>
            </w:r>
          </w:p>
        </w:tc>
        <w:tc>
          <w:tcPr>
            <w:tcW w:type="dxa" w:w="1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$141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5,577</w:t>
            </w:r>
          </w:p>
        </w:tc>
        <w:tc>
          <w:tcPr>
            <w:tcW w:type="dxa" w:w="1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4.0</w:t>
            </w:r>
          </w:p>
        </w:tc>
        <w:tc>
          <w:tcPr>
            <w:tcW w:type="dxa" w:w="1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0.06</w:t>
            </w:r>
          </w:p>
        </w:tc>
      </w:tr>
      <w:tr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Grocery Store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$151.94K</w:t>
            </w:r>
          </w:p>
        </w:tc>
        <w:tc>
          <w:tcPr>
            <w:tcW w:type="dxa" w:w="1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$140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1,083</w:t>
            </w:r>
          </w:p>
        </w:tc>
        <w:tc>
          <w:tcPr>
            <w:tcW w:type="dxa" w:w="1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4.0</w:t>
            </w:r>
          </w:p>
        </w:tc>
        <w:tc>
          <w:tcPr>
            <w:tcW w:type="dxa" w:w="1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Supermarket Type 2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$131.48K</w:t>
            </w:r>
          </w:p>
        </w:tc>
        <w:tc>
          <w:tcPr>
            <w:tcW w:type="dxa" w:w="1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$142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928</w:t>
            </w:r>
          </w:p>
        </w:tc>
        <w:tc>
          <w:tcPr>
            <w:tcW w:type="dxa" w:w="1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4.0</w:t>
            </w:r>
          </w:p>
        </w:tc>
        <w:tc>
          <w:tcPr>
            <w:tcW w:type="dxa" w:w="1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0.06</w:t>
            </w:r>
          </w:p>
        </w:tc>
      </w:tr>
      <w:tr>
        <w:tc>
          <w:tcPr>
            <w:tcW w:type="dxa" w:w="22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Supermarket Type 3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$130.71K</w:t>
            </w:r>
          </w:p>
        </w:tc>
        <w:tc>
          <w:tcPr>
            <w:tcW w:type="dxa" w:w="1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$140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935</w:t>
            </w:r>
          </w:p>
        </w:tc>
        <w:tc>
          <w:tcPr>
            <w:tcW w:type="dxa" w:w="1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4.0</w:t>
            </w:r>
          </w:p>
        </w:tc>
        <w:tc>
          <w:tcPr>
            <w:tcW w:type="dxa" w:w="1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0.06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Key Insight — Supermarket Type 1 Dominance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Supermarket Type 1 accounts for $787.55K — a staggering 66% of total platform revenue — with 5,577 SKUs vs. under 1,100 for all other outlet types. This concentration creates both a strength (scale efficiency) and a risk (single-format dependency). Grocery Stores show notably higher item visibility (0.10 vs 0.06), suggesting better shelf placement or discovery mechanics.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D4AC0D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7. Strategic Recommendations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A7D0A"/>
          <w:sz w:val="24"/>
          <w:szCs w:val="24"/>
        </w:rPr>
        <w:t xml:space="preserve">7.1  Revenue Diversification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Reduce dependency on Supermarket Type 1 (currently 66% of revenue) by accelerating Supermarket Type 2 and Type 3 formats in high-density corridors.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Invest in Grocery Store format expansion given its superior item visibility score of 0.10, indicating stronger consumer discovery.</w:t>
      </w:r>
    </w:p>
    <w:p>
      <w:pPr>
        <w:spacing w:before="0" w:after="48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A7D0A"/>
          <w:sz w:val="24"/>
          <w:szCs w:val="24"/>
        </w:rPr>
        <w:t xml:space="preserve">7.2  Tier 3 Market Deepening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Double down on Tier 3 expansion — it is the largest revenue-generating tier and likely represents the highest unmet demand with the lowest competitive density.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Deploy localized assortments and vernacular UX to capture last-mile advantage in Tier 3 markets.</w:t>
      </w:r>
    </w:p>
    <w:p>
      <w:pPr>
        <w:spacing w:before="0" w:after="48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A7D0A"/>
          <w:sz w:val="24"/>
          <w:szCs w:val="24"/>
        </w:rPr>
        <w:t xml:space="preserve">7.3  Category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Protect and grow the dual top-performers: Fruits &amp; Vegetables and Snack Foods — together contributing $0.36M (30% of total revenue).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Invest in cold-chain infrastructure to unlock Frozen Foods and Meat Products growth potential.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Audit tail categories (Seafood, Breakfast, Starchy Foods) for profitability; consider rationalizing or consolidating into bundled SKUs.</w:t>
      </w:r>
    </w:p>
    <w:p>
      <w:pPr>
        <w:spacing w:before="0" w:after="48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A7D0A"/>
          <w:sz w:val="24"/>
          <w:szCs w:val="24"/>
        </w:rPr>
        <w:t xml:space="preserve">7.4  Health &amp; Wellness Positioning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Low-fat products represent 35% of total sales — a material segment. Curate a dedicated wellness assortment and feature it prominently in-app to capture the growing health-conscious consumer.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Partner with health &amp; wellness brands to pilot exclusive quick-commerce SKUs.</w:t>
      </w:r>
    </w:p>
    <w:p>
      <w:pPr>
        <w:spacing w:before="0" w:after="48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A7D0A"/>
          <w:sz w:val="24"/>
          <w:szCs w:val="24"/>
        </w:rPr>
        <w:t xml:space="preserve">7.5  Customer Satisfaction Uplift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Average rating of 3.9 leaves meaningful headroom below a 5-star ceiling. A targeted 0.3-point uplift to 4.2 could materially improve repeat purchase rates.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Prioritize delivery speed SLAs and product freshness — particularly for Fruits &amp; Vegetables and Dairy — as the most impactful satisfaction drivers.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Launch a structured Net Promoter Score (NPS) program to identify the specific friction points dragging ratings below 4.0.</w:t>
      </w:r>
    </w:p>
    <w:p>
      <w:pPr>
        <w:spacing w:before="0" w:after="48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A7D0A"/>
          <w:sz w:val="24"/>
          <w:szCs w:val="24"/>
        </w:rPr>
        <w:t xml:space="preserve">7.6  Pricing &amp; Average Order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Current average sale of $141 is flat across all outlet types ($140–$142), suggesting limited upselling effectiveness. Introduce AI-driven cross-sell recommendations at checkout.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Implement basket-builder prompts (e.g., 'Add $X to unlock free delivery') to increase AOV without affecting unit economics.</w:t>
      </w:r>
    </w:p>
    <w:p>
      <w:pPr>
        <w:spacing w:before="0" w:after="1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EB6BF"/>
                <w:sz w:val="18"/>
                <w:szCs w:val="18"/>
              </w:rPr>
              <w:t xml:space="preserve">Blinkit Sales Dashboard  |  Executive Summary  |  Confidential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16"/>
                <w:szCs w:val="16"/>
              </w:rPr>
              <w:t xml:space="preserve">Analysis based on dashboard data. All figures in USD unless otherwise stated.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C2833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2026-03-07T05:32:12.341Z</dcterms:created>
  <dcterms:modified xsi:type="dcterms:W3CDTF">2026-03-07T05:32:12.342Z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