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1.2.3. 模型训练与测评数据集</w:t>
      </w:r>
    </w:p>
    <w:p>
      <w:pPr>
        <w:pStyle w:val="Heading2"/>
      </w:pPr>
      <w:r>
        <w:t>训练数据集总体架构与数据工程体系</w:t>
      </w:r>
    </w:p>
    <w:p>
      <w:pPr>
        <w:pStyle w:val="Heading5"/>
      </w:pPr>
      <w:r>
        <w:t>1.2.3.1 大规模语料库的多源异构数据分类</w:t>
      </w:r>
    </w:p>
    <w:p>
      <w:r>
        <w:t>在构建面向亿级参数规模语言模型的训练语料库时，数据来源的异构性构成了数据工程的首要挑战。网页文本、书籍文献与专业代码库作为三大核心数据来源，各自呈现出独特的数据特征、噪声分布与语义密度。</w:t>
      </w:r>
    </w:p>
    <w:p>
      <w:r>
        <w:t>一、网页文本、书籍文献、专业代码库的数据特征分析</w:t>
      </w:r>
    </w:p>
    <w:p>
      <w:r>
        <w:t>网页文本作为当前大规模预训练语料中最主要的组成部分，具有极高的时效性与覆盖面广度，能够反映当前社会语言使用的最新趋势与多样化表达方式。</w:t>
      </w:r>
    </w:p>
    <w:p>
      <w:r>
        <w:t>书籍文献类数据代表了高质量长文本语料的典型来源，包括数字化图书、学术论文、技术手册与专业期刊等。与网页文本相比，书籍文献具有显著的语义密度优势与结构规范性。</w:t>
      </w:r>
    </w:p>
    <w:p>
      <w:r>
        <w:t>专业代码库数据，主要来源于开源软件仓库，为模型提供了形式语言与自然语言交织的独特语料形态。代码数据的突出特征在于其严格的语法结构与逻辑严密性。</w:t>
      </w:r>
    </w:p>
    <w:p>
      <w:r>
        <w:t>二、领域专有数据与通用数据的混合比例设计原则</w:t>
      </w:r>
    </w:p>
    <w:p>
      <w:r>
        <w:t>通用数据通常指那些不特定于某一专业领域的开放性文本，如新闻报道、百科全书、文学作品、日常对话记录与综合性网页内容。</w:t>
      </w:r>
    </w:p>
    <w:p>
      <w:r>
        <w:t>领域专有数据则指针对特定应用场景收集的专业文本，如技术文档、专业手册等。这类数据的特点是术语密度高、知识专业性强。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