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MR_IL6R_CRC v44 validation, Figure 1, and reference paper package</w:t>
      </w:r>
    </w:p>
    <w:p>
      <w:r>
        <w:t>Output time: 2026-05-16 19:05 北京时间</w:t>
      </w:r>
    </w:p>
    <w:p>
      <w:pPr>
        <w:pStyle w:val="Heading1"/>
      </w:pPr>
      <w:r>
        <w:t>Executive conclusion</w:t>
      </w:r>
    </w:p>
    <w:p>
      <w:r>
        <w:t>Prepared independent validation add-on, Figure 1 full-width exports, Yanggang Hong paper pack, and all cited reference manifest. Repository URL replacement is paused.</w:t>
      </w:r>
    </w:p>
    <w:p>
      <w:pPr>
        <w:pStyle w:val="Heading1"/>
      </w:pPr>
      <w:r>
        <w:t>Independent validation</w:t>
      </w:r>
    </w:p>
    <w:p>
      <w:r>
        <w:t>Run the provided GEO scripts before final submission to reduce the review risk of a computational-only study.</w:t>
      </w:r>
    </w:p>
    <w:p>
      <w:pPr>
        <w:pStyle w:val="Heading1"/>
      </w:pPr>
      <w:r>
        <w:t>Figure 1</w:t>
      </w:r>
    </w:p>
    <w:p>
      <w:r>
        <w:t>The package includes a 2100-px-wide 300-dpi PNG, PDF/SVG wrappers, and a clean native-vector redraw.</w:t>
      </w:r>
    </w:p>
    <w:p>
      <w:pPr>
        <w:pStyle w:val="Heading1"/>
      </w:pPr>
      <w:r>
        <w:t>Reference packaging</w:t>
      </w:r>
    </w:p>
    <w:p>
      <w:r>
        <w:t>Locally available PDFs were packaged. Remaining references are listed in DOI manifests and require legal open-access/manual download.</w:t>
      </w:r>
    </w:p>
    <w:p>
      <w:pPr>
        <w:pStyle w:val="Heading1"/>
      </w:pPr>
      <w:r>
        <w:t>External validation cohort candidates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cohort</w:t>
            </w:r>
          </w:p>
        </w:tc>
        <w:tc>
          <w:tcPr>
            <w:tcW w:type="dxa" w:w="2556"/>
            <w:shd w:fill="D9EAF7"/>
          </w:tcPr>
          <w:p>
            <w:r>
              <w:t>priority</w:t>
            </w:r>
          </w:p>
        </w:tc>
        <w:tc>
          <w:tcPr>
            <w:tcW w:type="dxa" w:w="2556"/>
            <w:shd w:fill="D9EAF7"/>
          </w:tcPr>
          <w:p>
            <w:r>
              <w:t>suggested_use</w:t>
            </w:r>
          </w:p>
        </w:tc>
        <w:tc>
          <w:tcPr>
            <w:tcW w:type="dxa" w:w="2556"/>
            <w:shd w:fill="D9EAF7"/>
          </w:tcPr>
          <w:p>
            <w:r>
              <w:t>reference_url</w:t>
            </w:r>
          </w:p>
        </w:tc>
      </w:tr>
      <w:tr>
        <w:tc>
          <w:tcPr>
            <w:tcW w:type="dxa" w:w="2556"/>
          </w:tcPr>
          <w:p>
            <w:r>
              <w:t>GSE39582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  <w:tc>
          <w:tcPr>
            <w:tcW w:type="dxa" w:w="2556"/>
          </w:tcPr>
          <w:p>
            <w:r>
              <w:t>Primary external validation: IL6R expression, survival/Cox if phenotype fields available, immune/inflammatory association</w:t>
            </w:r>
          </w:p>
        </w:tc>
        <w:tc>
          <w:tcPr>
            <w:tcW w:type="dxa" w:w="2556"/>
          </w:tcPr>
          <w:p>
            <w:r>
              <w:t>https://www.ncbi.nlm.nih.gov/geo/query/acc.cgi?acc=GSE39582</w:t>
            </w:r>
          </w:p>
        </w:tc>
      </w:tr>
      <w:tr>
        <w:tc>
          <w:tcPr>
            <w:tcW w:type="dxa" w:w="2556"/>
          </w:tcPr>
          <w:p>
            <w:r>
              <w:t>GSE17536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  <w:tc>
          <w:tcPr>
            <w:tcW w:type="dxa" w:w="2556"/>
          </w:tcPr>
          <w:p>
            <w:r>
              <w:t>External survival validation and directionality check for IL6R expression</w:t>
            </w:r>
          </w:p>
        </w:tc>
        <w:tc>
          <w:tcPr>
            <w:tcW w:type="dxa" w:w="2556"/>
          </w:tcPr>
          <w:p>
            <w:r>
              <w:t>https://www.ncbi.nlm.nih.gov/geo/query/acc.cgi?acc=GSE17536</w:t>
            </w:r>
          </w:p>
        </w:tc>
      </w:tr>
      <w:tr>
        <w:tc>
          <w:tcPr>
            <w:tcW w:type="dxa" w:w="2556"/>
          </w:tcPr>
          <w:p>
            <w:r>
              <w:t>GSE17537</w:t>
            </w:r>
          </w:p>
        </w:tc>
        <w:tc>
          <w:tcPr>
            <w:tcW w:type="dxa" w:w="2556"/>
          </w:tcPr>
          <w:p>
            <w:r>
              <w:t>Medium</w:t>
            </w:r>
          </w:p>
        </w:tc>
        <w:tc>
          <w:tcPr>
            <w:tcW w:type="dxa" w:w="2556"/>
          </w:tcPr>
          <w:p>
            <w:r>
              <w:t>Sensitivity validation for OS/metastasis endpoints</w:t>
            </w:r>
          </w:p>
        </w:tc>
        <w:tc>
          <w:tcPr>
            <w:tcW w:type="dxa" w:w="2556"/>
          </w:tcPr>
          <w:p>
            <w:r>
              <w:t>https://www.ncbi.nlm.nih.gov/geo/query/acc.cgi?acc=GSE17537</w:t>
            </w:r>
          </w:p>
        </w:tc>
      </w:tr>
      <w:tr>
        <w:tc>
          <w:tcPr>
            <w:tcW w:type="dxa" w:w="2556"/>
          </w:tcPr>
          <w:p>
            <w:r>
              <w:t>GSE14333</w:t>
            </w:r>
          </w:p>
        </w:tc>
        <w:tc>
          <w:tcPr>
            <w:tcW w:type="dxa" w:w="2556"/>
          </w:tcPr>
          <w:p>
            <w:r>
              <w:t>Medium</w:t>
            </w:r>
          </w:p>
        </w:tc>
        <w:tc>
          <w:tcPr>
            <w:tcW w:type="dxa" w:w="2556"/>
          </w:tcPr>
          <w:p>
            <w:r>
              <w:t>Additional expression/prognosis validation if phenotype fields support endpoint extraction</w:t>
            </w:r>
          </w:p>
        </w:tc>
        <w:tc>
          <w:tcPr>
            <w:tcW w:type="dxa" w:w="2556"/>
          </w:tcPr>
          <w:p>
            <w:r>
              <w:t>https://www.ncbi.nlm.nih.gov/geo/query/acc.cgi?acc=GSE14333</w:t>
            </w:r>
          </w:p>
        </w:tc>
      </w:tr>
    </w:tbl>
    <w:p>
      <w:pPr>
        <w:pStyle w:val="Heading1"/>
      </w:pPr>
      <w:r>
        <w:t>Figure 1 export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</w:tcPr>
          <w:p>
            <w:r>
              <w:t>file</w:t>
            </w:r>
          </w:p>
        </w:tc>
        <w:tc>
          <w:tcPr>
            <w:tcW w:type="dxa" w:w="1704"/>
            <w:shd w:fill="D9EAF7"/>
          </w:tcPr>
          <w:p>
            <w:r>
              <w:t>type</w:t>
            </w:r>
          </w:p>
        </w:tc>
        <w:tc>
          <w:tcPr>
            <w:tcW w:type="dxa" w:w="1704"/>
            <w:shd w:fill="D9EAF7"/>
          </w:tcPr>
          <w:p>
            <w:r>
              <w:t>width_px</w:t>
            </w:r>
          </w:p>
        </w:tc>
        <w:tc>
          <w:tcPr>
            <w:tcW w:type="dxa" w:w="1704"/>
            <w:shd w:fill="D9EAF7"/>
          </w:tcPr>
          <w:p>
            <w:r>
              <w:t>height_px</w:t>
            </w:r>
          </w:p>
        </w:tc>
        <w:tc>
          <w:tcPr>
            <w:tcW w:type="dxa" w:w="1704"/>
            <w:shd w:fill="D9EAF7"/>
          </w:tcPr>
          <w:p>
            <w:r>
              <w:t>dpi</w:t>
            </w:r>
          </w:p>
        </w:tc>
        <w:tc>
          <w:tcPr>
            <w:tcW w:type="dxa" w:w="1704"/>
            <w:shd w:fill="D9EAF7"/>
          </w:tcPr>
          <w:p>
            <w:r>
              <w:t>note</w:t>
            </w:r>
          </w:p>
        </w:tc>
      </w:tr>
      <w:tr>
        <w:tc>
          <w:tcPr>
            <w:tcW w:type="dxa" w:w="1704"/>
          </w:tcPr>
          <w:p>
            <w:r>
              <w:t>Figure_1_workflow_fullwidth_300dpi_raster_v44_20260516_1905.png</w:t>
            </w:r>
          </w:p>
        </w:tc>
        <w:tc>
          <w:tcPr>
            <w:tcW w:type="dxa" w:w="1704"/>
          </w:tcPr>
          <w:p>
            <w:r>
              <w:t>raster_png</w:t>
            </w:r>
          </w:p>
        </w:tc>
        <w:tc>
          <w:tcPr>
            <w:tcW w:type="dxa" w:w="1704"/>
          </w:tcPr>
          <w:p>
            <w:r>
              <w:t>2100</w:t>
            </w:r>
          </w:p>
        </w:tc>
        <w:tc>
          <w:tcPr>
            <w:tcW w:type="dxa" w:w="1704"/>
          </w:tcPr>
          <w:p>
            <w:r>
              <w:t>1575</w:t>
            </w:r>
          </w:p>
        </w:tc>
        <w:tc>
          <w:tcPr>
            <w:tcW w:type="dxa" w:w="1704"/>
          </w:tcPr>
          <w:p>
            <w:r>
              <w:t>300</w:t>
            </w:r>
          </w:p>
        </w:tc>
        <w:tc>
          <w:tcPr>
            <w:tcW w:type="dxa" w:w="1704"/>
          </w:tcPr>
          <w:p>
            <w:r>
              <w:t>Upscaled from v40 PNG; improves file dimension but not true native vector detail.</w:t>
            </w:r>
          </w:p>
        </w:tc>
      </w:tr>
      <w:tr>
        <w:tc>
          <w:tcPr>
            <w:tcW w:type="dxa" w:w="1704"/>
          </w:tcPr>
          <w:p>
            <w:r>
              <w:t>Figure_1_workflow_fullwidth_300dpi_raster_wrapped_v44_20260516_1905.pdf</w:t>
            </w:r>
          </w:p>
        </w:tc>
        <w:tc>
          <w:tcPr>
            <w:tcW w:type="dxa" w:w="1704"/>
          </w:tcPr>
          <w:p>
            <w:r>
              <w:t>raster_wrapped_pdf</w:t>
            </w:r>
          </w:p>
        </w:tc>
        <w:tc>
          <w:tcPr>
            <w:tcW w:type="dxa" w:w="1704"/>
          </w:tcPr>
          <w:p>
            <w:r>
              <w:t>2100</w:t>
            </w:r>
          </w:p>
        </w:tc>
        <w:tc>
          <w:tcPr>
            <w:tcW w:type="dxa" w:w="1704"/>
          </w:tcPr>
          <w:p>
            <w:r>
              <w:t>1575</w:t>
            </w:r>
          </w:p>
        </w:tc>
        <w:tc>
          <w:tcPr>
            <w:tcW w:type="dxa" w:w="1704"/>
          </w:tcPr>
          <w:p>
            <w:r>
              <w:t>embedded 300 logical</w:t>
            </w:r>
          </w:p>
        </w:tc>
        <w:tc>
          <w:tcPr>
            <w:tcW w:type="dxa" w:w="1704"/>
          </w:tcPr>
          <w:p>
            <w:r>
              <w:t>PDF wrapper around 300dpi raster image.</w:t>
            </w:r>
          </w:p>
        </w:tc>
      </w:tr>
      <w:tr>
        <w:tc>
          <w:tcPr>
            <w:tcW w:type="dxa" w:w="1704"/>
          </w:tcPr>
          <w:p>
            <w:r>
              <w:t>Figure_1_workflow_fullwidth_300dpi_raster_wrapped_v44_20260516_1905.svg</w:t>
            </w:r>
          </w:p>
        </w:tc>
        <w:tc>
          <w:tcPr>
            <w:tcW w:type="dxa" w:w="1704"/>
          </w:tcPr>
          <w:p>
            <w:r>
              <w:t>raster_wrapped_svg</w:t>
            </w:r>
          </w:p>
        </w:tc>
        <w:tc>
          <w:tcPr>
            <w:tcW w:type="dxa" w:w="1704"/>
          </w:tcPr>
          <w:p>
            <w:r>
              <w:t>2100</w:t>
            </w:r>
          </w:p>
        </w:tc>
        <w:tc>
          <w:tcPr>
            <w:tcW w:type="dxa" w:w="1704"/>
          </w:tcPr>
          <w:p>
            <w:r>
              <w:t>1575</w:t>
            </w:r>
          </w:p>
        </w:tc>
        <w:tc>
          <w:tcPr>
            <w:tcW w:type="dxa" w:w="1704"/>
          </w:tcPr>
          <w:p>
            <w:r>
              <w:t>300 logical</w:t>
            </w:r>
          </w:p>
        </w:tc>
        <w:tc>
          <w:tcPr>
            <w:tcW w:type="dxa" w:w="1704"/>
          </w:tcPr>
          <w:p>
            <w:r>
              <w:t>SVG wrapper around base64 raster image; not true editable vector.</w:t>
            </w:r>
          </w:p>
        </w:tc>
      </w:tr>
      <w:tr>
        <w:tc>
          <w:tcPr>
            <w:tcW w:type="dxa" w:w="1704"/>
          </w:tcPr>
          <w:p>
            <w:r>
              <w:t>Figure_1_workflow_vector_redraw_clean_v44_20260516_1905.svg</w:t>
            </w:r>
          </w:p>
        </w:tc>
        <w:tc>
          <w:tcPr>
            <w:tcW w:type="dxa" w:w="1704"/>
          </w:tcPr>
          <w:p>
            <w:r>
              <w:t>native_vector_svg</w:t>
            </w:r>
          </w:p>
        </w:tc>
        <w:tc>
          <w:tcPr>
            <w:tcW w:type="dxa" w:w="1704"/>
          </w:tcPr>
          <w:p>
            <w:r>
              <w:t>2400</w:t>
            </w:r>
          </w:p>
        </w:tc>
        <w:tc>
          <w:tcPr>
            <w:tcW w:type="dxa" w:w="1704"/>
          </w:tcPr>
          <w:p>
            <w:r>
              <w:t>1600</w:t>
            </w:r>
          </w:p>
        </w:tc>
        <w:tc>
          <w:tcPr>
            <w:tcW w:type="dxa" w:w="1704"/>
          </w:tcPr>
          <w:p>
            <w:r>
              <w:t>vector</w:t>
            </w:r>
          </w:p>
        </w:tc>
        <w:tc>
          <w:tcPr>
            <w:tcW w:type="dxa" w:w="1704"/>
          </w:tcPr>
          <w:p>
            <w:r>
              <w:t>Clean vector-style redraw; not identical to image2 icons but fully scalable.</w:t>
            </w:r>
          </w:p>
        </w:tc>
      </w:tr>
      <w:tr>
        <w:tc>
          <w:tcPr>
            <w:tcW w:type="dxa" w:w="1704"/>
          </w:tcPr>
          <w:p>
            <w:r>
              <w:t>Figure_1_workflow_vector_redraw_clean_v44_20260516_1905.pdf</w:t>
            </w:r>
          </w:p>
        </w:tc>
        <w:tc>
          <w:tcPr>
            <w:tcW w:type="dxa" w:w="1704"/>
          </w:tcPr>
          <w:p>
            <w:r>
              <w:t>native_vector_pdf</w:t>
            </w:r>
          </w:p>
        </w:tc>
        <w:tc>
          <w:tcPr>
            <w:tcW w:type="dxa" w:w="1704"/>
          </w:tcPr>
          <w:p>
            <w:r>
              <w:t>2400</w:t>
            </w:r>
          </w:p>
        </w:tc>
        <w:tc>
          <w:tcPr>
            <w:tcW w:type="dxa" w:w="1704"/>
          </w:tcPr>
          <w:p>
            <w:r>
              <w:t>1600</w:t>
            </w:r>
          </w:p>
        </w:tc>
        <w:tc>
          <w:tcPr>
            <w:tcW w:type="dxa" w:w="1704"/>
          </w:tcPr>
          <w:p>
            <w:r>
              <w:t>vector</w:t>
            </w:r>
          </w:p>
        </w:tc>
        <w:tc>
          <w:tcPr>
            <w:tcW w:type="dxa" w:w="1704"/>
          </w:tcPr>
          <w:p>
            <w:r>
              <w:t>PDF generated from vector SVG.</w:t>
            </w:r>
          </w:p>
        </w:tc>
      </w:tr>
    </w:tbl>
    <w:p>
      <w:pPr>
        <w:pStyle w:val="Heading1"/>
      </w:pPr>
      <w:r>
        <w:t>Yanggang Hong core reference papers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reference_role</w:t>
            </w:r>
          </w:p>
        </w:tc>
        <w:tc>
          <w:tcPr>
            <w:tcW w:type="dxa" w:w="2556"/>
            <w:shd w:fill="D9EAF7"/>
          </w:tcPr>
          <w:p>
            <w:r>
              <w:t>doi</w:t>
            </w:r>
          </w:p>
        </w:tc>
        <w:tc>
          <w:tcPr>
            <w:tcW w:type="dxa" w:w="2556"/>
            <w:shd w:fill="D9EAF7"/>
          </w:tcPr>
          <w:p>
            <w:r>
              <w:t>title</w:t>
            </w:r>
          </w:p>
        </w:tc>
        <w:tc>
          <w:tcPr>
            <w:tcW w:type="dxa" w:w="2556"/>
            <w:shd w:fill="D9EAF7"/>
          </w:tcPr>
          <w:p>
            <w:r>
              <w:t>fixed_status</w:t>
            </w:r>
          </w:p>
        </w:tc>
      </w:tr>
      <w:tr>
        <w:tc>
          <w:tcPr>
            <w:tcW w:type="dxa" w:w="2556"/>
          </w:tcPr>
          <w:p>
            <w:r>
              <w:t>核心蓝图A</w:t>
            </w:r>
          </w:p>
        </w:tc>
        <w:tc>
          <w:tcPr>
            <w:tcW w:type="dxa" w:w="2556"/>
          </w:tcPr>
          <w:p>
            <w:r>
              <w:t>10.1016/j.ecoenv.2025.118709</w:t>
            </w:r>
          </w:p>
        </w:tc>
        <w:tc>
          <w:tcPr>
            <w:tcW w:type="dxa" w:w="2556"/>
          </w:tcPr>
          <w:p>
            <w:r>
              <w:t>Integrative causal and single-cell analyses reveal genes responsive to endocrine disruptors driving human male infertility</w:t>
            </w:r>
          </w:p>
        </w:tc>
        <w:tc>
          <w:tcPr>
            <w:tcW w:type="dxa" w:w="2556"/>
          </w:tcPr>
          <w:p>
            <w:r>
              <w:t>included</w:t>
            </w:r>
          </w:p>
        </w:tc>
      </w:tr>
      <w:tr>
        <w:tc>
          <w:tcPr>
            <w:tcW w:type="dxa" w:w="2556"/>
          </w:tcPr>
          <w:p>
            <w:r>
              <w:t>核心蓝图B</w:t>
            </w:r>
          </w:p>
        </w:tc>
        <w:tc>
          <w:tcPr>
            <w:tcW w:type="dxa" w:w="2556"/>
          </w:tcPr>
          <w:p>
            <w:r>
              <w:t>10.1016/j.ecoenv.2025.118126</w:t>
            </w:r>
          </w:p>
        </w:tc>
        <w:tc>
          <w:tcPr>
            <w:tcW w:type="dxa" w:w="2556"/>
          </w:tcPr>
          <w:p>
            <w:r>
              <w:t>Prioritizing endocrine-disrupting chemicals targeting systemic lupus erythematosus genes via Mendelian randomization and colocalization analyses</w:t>
            </w:r>
          </w:p>
        </w:tc>
        <w:tc>
          <w:tcPr>
            <w:tcW w:type="dxa" w:w="2556"/>
          </w:tcPr>
          <w:p>
            <w:r>
              <w:t>included</w:t>
            </w:r>
          </w:p>
        </w:tc>
      </w:tr>
      <w:tr>
        <w:tc>
          <w:tcPr>
            <w:tcW w:type="dxa" w:w="2556"/>
          </w:tcPr>
          <w:p>
            <w:r>
              <w:t>核心蓝图C</w:t>
            </w:r>
          </w:p>
        </w:tc>
        <w:tc>
          <w:tcPr>
            <w:tcW w:type="dxa" w:w="2556"/>
          </w:tcPr>
          <w:p>
            <w:r>
              <w:t>10.1016/j.reprotox.2024.108749</w:t>
            </w:r>
          </w:p>
        </w:tc>
        <w:tc>
          <w:tcPr>
            <w:tcW w:type="dxa" w:w="2556"/>
          </w:tcPr>
          <w:p>
            <w:r>
              <w:t>di-ethylhexyl phthalate with network toxicology and molecular docking strategy</w:t>
            </w:r>
          </w:p>
        </w:tc>
        <w:tc>
          <w:tcPr>
            <w:tcW w:type="dxa" w:w="2556"/>
          </w:tcPr>
          <w:p>
            <w:r>
              <w:t>included</w:t>
            </w:r>
          </w:p>
        </w:tc>
      </w:tr>
      <w:tr>
        <w:tc>
          <w:tcPr>
            <w:tcW w:type="dxa" w:w="2556"/>
          </w:tcPr>
          <w:p>
            <w:r>
              <w:t>核心蓝图D</w:t>
            </w:r>
          </w:p>
        </w:tc>
        <w:tc>
          <w:tcPr>
            <w:tcW w:type="dxa" w:w="2556"/>
          </w:tcPr>
          <w:p>
            <w:r>
              <w:t>10.1016/j.arr.2025.102835</w:t>
            </w:r>
          </w:p>
        </w:tc>
        <w:tc>
          <w:tcPr>
            <w:tcW w:type="dxa" w:w="2556"/>
          </w:tcPr>
          <w:p>
            <w:r>
              <w:t>Mapping the immune-genetic architecture of aging: A single-cell causal framework for biomarker discovery and therapeutic targeting</w:t>
            </w:r>
          </w:p>
        </w:tc>
        <w:tc>
          <w:tcPr>
            <w:tcW w:type="dxa" w:w="2556"/>
          </w:tcPr>
          <w:p>
            <w:r>
              <w:t>included</w:t>
            </w:r>
          </w:p>
        </w:tc>
      </w:tr>
      <w:tr>
        <w:tc>
          <w:tcPr>
            <w:tcW w:type="dxa" w:w="2556"/>
          </w:tcPr>
          <w:p>
            <w:r>
              <w:t>核心蓝图E</w:t>
            </w:r>
          </w:p>
        </w:tc>
        <w:tc>
          <w:tcPr>
            <w:tcW w:type="dxa" w:w="2556"/>
          </w:tcPr>
          <w:p>
            <w:r>
              <w:t>10.1186/s10194-025-02132-x</w:t>
            </w:r>
          </w:p>
        </w:tc>
        <w:tc>
          <w:tcPr>
            <w:tcW w:type="dxa" w:w="2556"/>
          </w:tcPr>
          <w:p>
            <w:r>
              <w:t>The Journal of Headache and Pain Open Access RESEARCH Dissecting immune cell-specific genetics in migraine: a multi-omics framework for target discovery and therapeutic prioritization</w:t>
            </w:r>
          </w:p>
        </w:tc>
        <w:tc>
          <w:tcPr>
            <w:tcW w:type="dxa" w:w="2556"/>
          </w:tcPr>
          <w:p>
            <w:r>
              <w:t>included</w:t>
            </w:r>
          </w:p>
        </w:tc>
      </w:tr>
      <w:tr>
        <w:tc>
          <w:tcPr>
            <w:tcW w:type="dxa" w:w="2556"/>
          </w:tcPr>
          <w:p>
            <w:r>
              <w:t>机制验证A</w:t>
            </w:r>
          </w:p>
        </w:tc>
        <w:tc>
          <w:tcPr>
            <w:tcW w:type="dxa" w:w="2556"/>
          </w:tcPr>
          <w:p>
            <w:r>
              <w:t>10.1016/j.ecoenv.2024.117352</w:t>
            </w:r>
          </w:p>
        </w:tc>
        <w:tc>
          <w:tcPr>
            <w:tcW w:type="dxa" w:w="2556"/>
          </w:tcPr>
          <w:p>
            <w:r>
              <w:t>Environmental triggers and future risk of developing autoimmune diseases: Molecular mechanism and network toxicology analysis of bisphenol A</w:t>
            </w:r>
          </w:p>
        </w:tc>
        <w:tc>
          <w:tcPr>
            <w:tcW w:type="dxa" w:w="2556"/>
          </w:tcPr>
          <w:p>
            <w:r>
              <w:t>included</w:t>
            </w:r>
          </w:p>
        </w:tc>
      </w:tr>
      <w:tr>
        <w:tc>
          <w:tcPr>
            <w:tcW w:type="dxa" w:w="2556"/>
          </w:tcPr>
          <w:p>
            <w:r>
              <w:t>机制验证B</w:t>
            </w:r>
          </w:p>
        </w:tc>
        <w:tc>
          <w:tcPr>
            <w:tcW w:type="dxa" w:w="2556"/>
          </w:tcPr>
          <w:p>
            <w:r>
              <w:t>10.1016/j.ecoenv.2025.117878</w:t>
            </w:r>
          </w:p>
        </w:tc>
        <w:tc>
          <w:tcPr>
            <w:tcW w:type="dxa" w:w="2556"/>
          </w:tcPr>
          <w:p>
            <w:r>
              <w:t>Analysis of toxicity and mechanisms of busulfan in non-obstructive azoospermia: A genomic and toxicological approach integrating molecular docking, single-cell sequencing, and experimentation in vivo</w:t>
            </w:r>
          </w:p>
        </w:tc>
        <w:tc>
          <w:tcPr>
            <w:tcW w:type="dxa" w:w="2556"/>
          </w:tcPr>
          <w:p>
            <w:r>
              <w:t>included</w:t>
            </w:r>
          </w:p>
        </w:tc>
      </w:tr>
      <w:tr>
        <w:tc>
          <w:tcPr>
            <w:tcW w:type="dxa" w:w="2556"/>
          </w:tcPr>
          <w:p>
            <w:r>
              <w:t>癌症整合A</w:t>
            </w:r>
          </w:p>
        </w:tc>
        <w:tc>
          <w:tcPr>
            <w:tcW w:type="dxa" w:w="2556"/>
          </w:tcPr>
          <w:p>
            <w:r>
              <w:t>10.1186/s12967-025-06517-z</w:t>
            </w:r>
          </w:p>
        </w:tc>
        <w:tc>
          <w:tcPr>
            <w:tcW w:type="dxa" w:w="2556"/>
          </w:tcPr>
          <w:p>
            <w:r>
              <w:t>Decoding per? and polyfluoroalkyl substances (PFAS) in hepatocellular carcinoma: a multi?omics and computational toxicology approach</w:t>
            </w:r>
          </w:p>
        </w:tc>
        <w:tc>
          <w:tcPr>
            <w:tcW w:type="dxa" w:w="2556"/>
          </w:tcPr>
          <w:p>
            <w:r>
              <w:t>included</w:t>
            </w:r>
          </w:p>
        </w:tc>
      </w:tr>
      <w:tr>
        <w:tc>
          <w:tcPr>
            <w:tcW w:type="dxa" w:w="2556"/>
          </w:tcPr>
          <w:p>
            <w:r>
              <w:t>癌症整合B</w:t>
            </w:r>
          </w:p>
        </w:tc>
        <w:tc>
          <w:tcPr>
            <w:tcW w:type="dxa" w:w="2556"/>
          </w:tcPr>
          <w:p>
            <w:r>
              <w:t>10.1007/s10142-025-01616-y</w:t>
            </w:r>
          </w:p>
        </w:tc>
        <w:tc>
          <w:tcPr>
            <w:tcW w:type="dxa" w:w="2556"/>
          </w:tcPr>
          <w:p>
            <w:r>
              <w:t>Analyzing the potential targets and mechanism of per- and polyfluoroalkyl substances (PFAS) on breast cancer by integrating network toxicology, single-cell sequencing, spatial transcriptomics, and molecular simulation</w:t>
            </w:r>
          </w:p>
        </w:tc>
        <w:tc>
          <w:tcPr>
            <w:tcW w:type="dxa" w:w="2556"/>
          </w:tcPr>
          <w:p>
            <w:r>
              <w:t>included</w:t>
            </w:r>
          </w:p>
        </w:tc>
      </w:tr>
      <w:tr>
        <w:tc>
          <w:tcPr>
            <w:tcW w:type="dxa" w:w="2556"/>
          </w:tcPr>
          <w:p>
            <w:r>
              <w:t>免疫遗传A</w:t>
            </w:r>
          </w:p>
        </w:tc>
        <w:tc>
          <w:tcPr>
            <w:tcW w:type="dxa" w:w="2556"/>
          </w:tcPr>
          <w:p>
            <w:r>
              <w:t>10.1093/rheumatology/keaf606</w:t>
            </w:r>
          </w:p>
        </w:tc>
        <w:tc>
          <w:tcPr>
            <w:tcW w:type="dxa" w:w="2556"/>
          </w:tcPr>
          <w:p>
            <w:r>
              <w:t>and colocalization reveal cell-specific mechanisms in systemic lupus erythematosus Yanggang Hong 1 2 1,?</w:t>
            </w:r>
          </w:p>
        </w:tc>
        <w:tc>
          <w:tcPr>
            <w:tcW w:type="dxa" w:w="2556"/>
          </w:tcPr>
          <w:p>
            <w:r>
              <w:t>included</w:t>
            </w:r>
          </w:p>
        </w:tc>
      </w:tr>
      <w:tr>
        <w:tc>
          <w:tcPr>
            <w:tcW w:type="dxa" w:w="2556"/>
          </w:tcPr>
          <w:p>
            <w:r>
              <w:t>免疫遗传B</w:t>
            </w:r>
          </w:p>
        </w:tc>
        <w:tc>
          <w:tcPr>
            <w:tcW w:type="dxa" w:w="2556"/>
          </w:tcPr>
          <w:p>
            <w:r>
              <w:t>10.1096/fj.202503032R</w:t>
            </w:r>
          </w:p>
        </w:tc>
        <w:tc>
          <w:tcPr>
            <w:tcW w:type="dxa" w:w="2556"/>
          </w:tcPr>
          <w:p>
            <w:r>
              <w:t>Single--Cell Transcriptome--Wide Mendelian Randomization and Colocalization Analyses Uncover Cell--Specific Mechanisms in Epigenetic Age Acceleration Yanggang Hong1,2</w:t>
            </w:r>
          </w:p>
        </w:tc>
        <w:tc>
          <w:tcPr>
            <w:tcW w:type="dxa" w:w="2556"/>
          </w:tcPr>
          <w:p>
            <w:r>
              <w:t>included</w:t>
            </w:r>
          </w:p>
        </w:tc>
      </w:tr>
      <w:tr>
        <w:tc>
          <w:tcPr>
            <w:tcW w:type="dxa" w:w="2556"/>
          </w:tcPr>
          <w:p>
            <w:r>
              <w:t>转化靶点A</w:t>
            </w:r>
          </w:p>
        </w:tc>
        <w:tc>
          <w:tcPr>
            <w:tcW w:type="dxa" w:w="2556"/>
          </w:tcPr>
          <w:p>
            <w:r>
              <w:t>10.1038/s41531-025-01148-z</w:t>
            </w:r>
          </w:p>
        </w:tc>
        <w:tc>
          <w:tcPr>
            <w:tcW w:type="dxa" w:w="2556"/>
          </w:tcPr>
          <w:p>
            <w:r>
              <w:t>Published in partnership with the Parkinson’s Foundation Peripheral immune cell-speci?c genes in Parkinson’s disease uncovered by multiomics with therapeutic implications Check for updates 1,2 1234567890():,; 1234567890():,;</w:t>
            </w:r>
          </w:p>
        </w:tc>
        <w:tc>
          <w:tcPr>
            <w:tcW w:type="dxa" w:w="2556"/>
          </w:tcPr>
          <w:p>
            <w:r>
              <w:t>included</w:t>
            </w:r>
          </w:p>
        </w:tc>
      </w:tr>
    </w:tbl>
    <w:p>
      <w:pPr>
        <w:pStyle w:val="Heading1"/>
      </w:pPr>
      <w:r>
        <w:t>Reference PDF availability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metric</w:t>
            </w:r>
          </w:p>
        </w:tc>
        <w:tc>
          <w:tcPr>
            <w:tcW w:type="dxa" w:w="5112"/>
            <w:shd w:fill="D9EAF7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total_v43_references</w:t>
            </w:r>
          </w:p>
        </w:tc>
        <w:tc>
          <w:tcPr>
            <w:tcW w:type="dxa" w:w="5112"/>
          </w:tcPr>
          <w:p>
            <w:r>
              <w:t>36</w:t>
            </w:r>
          </w:p>
        </w:tc>
      </w:tr>
      <w:tr>
        <w:tc>
          <w:tcPr>
            <w:tcW w:type="dxa" w:w="5112"/>
          </w:tcPr>
          <w:p>
            <w:r>
              <w:t>local_pdfs_included</w:t>
            </w:r>
          </w:p>
        </w:tc>
        <w:tc>
          <w:tcPr>
            <w:tcW w:type="dxa" w:w="5112"/>
          </w:tcPr>
          <w:p>
            <w:r>
              <w:t>5</w:t>
            </w:r>
          </w:p>
        </w:tc>
      </w:tr>
      <w:tr>
        <w:tc>
          <w:tcPr>
            <w:tcW w:type="dxa" w:w="5112"/>
          </w:tcPr>
          <w:p>
            <w:r>
              <w:t>not_available_locally_or_needs_OA_download</w:t>
            </w:r>
          </w:p>
        </w:tc>
        <w:tc>
          <w:tcPr>
            <w:tcW w:type="dxa" w:w="5112"/>
          </w:tcPr>
          <w:p>
            <w:r>
              <w:t>31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