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MR_IL6R_CRC v51 Updated Figure Legends</w:t>
      </w:r>
    </w:p>
    <w:p>
      <w:pPr>
        <w:pStyle w:val="Heading1"/>
      </w:pPr>
      <w:r>
        <w:t>Figure 6. Single-cell IL6R and IL6-axis context in colorectal cancer immune microenvironments</w:t>
      </w:r>
    </w:p>
    <w:p>
      <w:r>
        <w:t>(A) UMAP representation of the GSE146771 single-cell RNA-seq source table, coloured by global immune cell class. (B) IL6R expression projected onto the same single-cell embedding. (C) Fraction of IL6R-positive cells by global cell class. (D) Median IL6-axis module score by global cell class. The v51 candidate was regenerated from the v50 Figure 6 cell-level source table and is intended to provide a cleaner expression-focused replacement for the previous more crowded single-cell panel.</w:t>
      </w:r>
    </w:p>
    <w:p>
      <w:pPr>
        <w:pStyle w:val="Heading1"/>
      </w:pPr>
      <w:r>
        <w:t>Supplementary Figure S2. Manual GEO phenotype validation of IL6R expression</w:t>
      </w:r>
    </w:p>
    <w:p>
      <w:r>
        <w:t>(A) GSE39582 tumour-normal comparison showing higher IL6R expression in non-tumoral colorectal mucosa than in tumour samples. (B) Stage-stratified GEO validation comparing early-stage and advanced-stage tumours across GSE14333, GSE17536, GSE17537 and GSE39582. (C) Univariable Cox models for available OS, DFS/RFS and DSS endpoints in GSE17536, GSE17537 and GSE39582. These analyses support a conservative interpretation in which IL6R is not a robust standalone stage or survival biomarker.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