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MR_IL6R_CRC v51 JTM Revision Report</w:t>
      </w:r>
    </w:p>
    <w:p>
      <w:pPr>
        <w:jc w:val="center"/>
      </w:pPr>
      <w:r>
        <w:t>Manual GEO validation integration, Figure 6 candidate rerun, and supplementary source-data/code crosswalk</w:t>
      </w:r>
    </w:p>
    <w:p>
      <w:r>
        <w:t>Output Beijing time: 2026-05-17 19:38</w:t>
      </w:r>
    </w:p>
    <w:p>
      <w:pPr>
        <w:pStyle w:val="Heading1"/>
      </w:pPr>
      <w:r>
        <w:t>1. Executive decision</w:t>
      </w:r>
    </w:p>
    <w:p>
      <w:r>
        <w:t>v51 is scientifically stronger than v49 because the previous “GSE39582 not parsed” limitation has been resolved. GSE39582 now provides a reliable external tumour-normal comparison, and the expanded GEO validation supports a conservative, JTM-suitable interpretation: IL6R is not a robust tumour-intrinsic oncogene or standalone prognostic biomarker, but it is linked to immune/myeloid/inflammatory microenvironmental biology.</w:t>
      </w:r>
    </w:p>
    <w:p>
      <w:pPr>
        <w:pStyle w:val="Heading1"/>
      </w:pPr>
      <w:r>
        <w:t>2. Key numeric updates</w:t>
      </w:r>
    </w:p>
    <w:p>
      <w:pPr>
        <w:pStyle w:val="Heading2"/>
      </w:pPr>
      <w:r>
        <w:t>Tumour-normal validation (Supplementary Table S10)</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Pr>
          <w:p>
            <w:r>
              <w:rPr>
                <w:b/>
              </w:rPr>
              <w:t>cohort</w:t>
            </w:r>
          </w:p>
        </w:tc>
        <w:tc>
          <w:tcPr>
            <w:tcW w:type="dxa" w:w="1120"/>
            <w:vAlign w:val="center"/>
          </w:tcPr>
          <w:p>
            <w:r>
              <w:rPr>
                <w:b/>
              </w:rPr>
              <w:t>n_tumour</w:t>
            </w:r>
          </w:p>
        </w:tc>
        <w:tc>
          <w:tcPr>
            <w:tcW w:type="dxa" w:w="1120"/>
            <w:vAlign w:val="center"/>
          </w:tcPr>
          <w:p>
            <w:r>
              <w:rPr>
                <w:b/>
              </w:rPr>
              <w:t>n_normal</w:t>
            </w:r>
          </w:p>
        </w:tc>
        <w:tc>
          <w:tcPr>
            <w:tcW w:type="dxa" w:w="1120"/>
            <w:vAlign w:val="center"/>
          </w:tcPr>
          <w:p>
            <w:r>
              <w:rPr>
                <w:b/>
              </w:rPr>
              <w:t>median_tumour</w:t>
            </w:r>
          </w:p>
        </w:tc>
        <w:tc>
          <w:tcPr>
            <w:tcW w:type="dxa" w:w="1120"/>
            <w:vAlign w:val="center"/>
          </w:tcPr>
          <w:p>
            <w:r>
              <w:rPr>
                <w:b/>
              </w:rPr>
              <w:t>median_normal</w:t>
            </w:r>
          </w:p>
        </w:tc>
        <w:tc>
          <w:tcPr>
            <w:tcW w:type="dxa" w:w="1120"/>
            <w:vAlign w:val="center"/>
          </w:tcPr>
          <w:p>
            <w:r>
              <w:rPr>
                <w:b/>
              </w:rPr>
              <w:t>mean_tumour</w:t>
            </w:r>
          </w:p>
        </w:tc>
        <w:tc>
          <w:tcPr>
            <w:tcW w:type="dxa" w:w="1120"/>
            <w:vAlign w:val="center"/>
          </w:tcPr>
          <w:p>
            <w:r>
              <w:rPr>
                <w:b/>
              </w:rPr>
              <w:t>mean_normal</w:t>
            </w:r>
          </w:p>
        </w:tc>
        <w:tc>
          <w:tcPr>
            <w:tcW w:type="dxa" w:w="1120"/>
            <w:vAlign w:val="center"/>
          </w:tcPr>
          <w:p>
            <w:r>
              <w:rPr>
                <w:b/>
              </w:rPr>
              <w:t>delta_median</w:t>
            </w:r>
          </w:p>
        </w:tc>
        <w:tc>
          <w:tcPr>
            <w:tcW w:type="dxa" w:w="1120"/>
            <w:vAlign w:val="center"/>
          </w:tcPr>
          <w:p>
            <w:r>
              <w:rPr>
                <w:b/>
              </w:rPr>
              <w:t>wilcoxon_p</w:t>
            </w:r>
          </w:p>
        </w:tc>
      </w:tr>
      <w:tr>
        <w:tc>
          <w:tcPr>
            <w:tcW w:type="dxa" w:w="1120"/>
            <w:vAlign w:val="center"/>
          </w:tcPr>
          <w:p>
            <w:r>
              <w:t>GSE39582</w:t>
            </w:r>
          </w:p>
        </w:tc>
        <w:tc>
          <w:tcPr>
            <w:tcW w:type="dxa" w:w="1120"/>
            <w:vAlign w:val="center"/>
          </w:tcPr>
          <w:p>
            <w:r>
              <w:t>566</w:t>
            </w:r>
          </w:p>
        </w:tc>
        <w:tc>
          <w:tcPr>
            <w:tcW w:type="dxa" w:w="1120"/>
            <w:vAlign w:val="center"/>
          </w:tcPr>
          <w:p>
            <w:r>
              <w:t>19</w:t>
            </w:r>
          </w:p>
        </w:tc>
        <w:tc>
          <w:tcPr>
            <w:tcW w:type="dxa" w:w="1120"/>
            <w:vAlign w:val="center"/>
          </w:tcPr>
          <w:p>
            <w:r>
              <w:t>4.064</w:t>
            </w:r>
          </w:p>
        </w:tc>
        <w:tc>
          <w:tcPr>
            <w:tcW w:type="dxa" w:w="1120"/>
            <w:vAlign w:val="center"/>
          </w:tcPr>
          <w:p>
            <w:r>
              <w:t>6.677</w:t>
            </w:r>
          </w:p>
        </w:tc>
        <w:tc>
          <w:tcPr>
            <w:tcW w:type="dxa" w:w="1120"/>
            <w:vAlign w:val="center"/>
          </w:tcPr>
          <w:p>
            <w:r>
              <w:t>4.181</w:t>
            </w:r>
          </w:p>
        </w:tc>
        <w:tc>
          <w:tcPr>
            <w:tcW w:type="dxa" w:w="1120"/>
            <w:vAlign w:val="center"/>
          </w:tcPr>
          <w:p>
            <w:r>
              <w:t>6.624</w:t>
            </w:r>
          </w:p>
        </w:tc>
        <w:tc>
          <w:tcPr>
            <w:tcW w:type="dxa" w:w="1120"/>
            <w:vAlign w:val="center"/>
          </w:tcPr>
          <w:p>
            <w:r>
              <w:t>-2.613</w:t>
            </w:r>
          </w:p>
        </w:tc>
        <w:tc>
          <w:tcPr>
            <w:tcW w:type="dxa" w:w="1120"/>
            <w:vAlign w:val="center"/>
          </w:tcPr>
          <w:p>
            <w:r>
              <w:t>3.94e-13</w:t>
            </w:r>
          </w:p>
        </w:tc>
      </w:tr>
    </w:tbl>
    <w:p/>
    <w:p>
      <w:pPr>
        <w:pStyle w:val="Heading2"/>
      </w:pPr>
      <w:r>
        <w:t>Stage-stratified validation (Supplementary Table S11)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r>
              <w:rPr>
                <w:b/>
              </w:rPr>
              <w:t>cohort</w:t>
            </w:r>
          </w:p>
        </w:tc>
        <w:tc>
          <w:tcPr>
            <w:tcW w:type="dxa" w:w="1440"/>
            <w:vAlign w:val="center"/>
          </w:tcPr>
          <w:p>
            <w:r>
              <w:rPr>
                <w:b/>
              </w:rPr>
              <w:t>n_stage_I_II</w:t>
            </w:r>
          </w:p>
        </w:tc>
        <w:tc>
          <w:tcPr>
            <w:tcW w:type="dxa" w:w="1440"/>
            <w:vAlign w:val="center"/>
          </w:tcPr>
          <w:p>
            <w:r>
              <w:rPr>
                <w:b/>
              </w:rPr>
              <w:t>n_stage_III_IV</w:t>
            </w:r>
          </w:p>
        </w:tc>
        <w:tc>
          <w:tcPr>
            <w:tcW w:type="dxa" w:w="1440"/>
            <w:vAlign w:val="center"/>
          </w:tcPr>
          <w:p>
            <w:r>
              <w:rPr>
                <w:b/>
              </w:rPr>
              <w:t>median_stage_I_II</w:t>
            </w:r>
          </w:p>
        </w:tc>
        <w:tc>
          <w:tcPr>
            <w:tcW w:type="dxa" w:w="1440"/>
            <w:vAlign w:val="center"/>
          </w:tcPr>
          <w:p>
            <w:r>
              <w:rPr>
                <w:b/>
              </w:rPr>
              <w:t>median_stage_III_IV</w:t>
            </w:r>
          </w:p>
        </w:tc>
        <w:tc>
          <w:tcPr>
            <w:tcW w:type="dxa" w:w="1440"/>
            <w:vAlign w:val="center"/>
          </w:tcPr>
          <w:p>
            <w:r>
              <w:rPr>
                <w:b/>
              </w:rPr>
              <w:t>delta_median_III_IV_minus_I_II</w:t>
            </w:r>
          </w:p>
        </w:tc>
        <w:tc>
          <w:tcPr>
            <w:tcW w:type="dxa" w:w="1440"/>
            <w:vAlign w:val="center"/>
          </w:tcPr>
          <w:p>
            <w:r>
              <w:rPr>
                <w:b/>
              </w:rPr>
              <w:t>wilcoxon_p</w:t>
            </w:r>
          </w:p>
        </w:tc>
      </w:tr>
      <w:tr>
        <w:tc>
          <w:tcPr>
            <w:tcW w:type="dxa" w:w="1440"/>
            <w:vAlign w:val="center"/>
          </w:tcPr>
          <w:p>
            <w:r>
              <w:t>GSE14333</w:t>
            </w:r>
          </w:p>
        </w:tc>
        <w:tc>
          <w:tcPr>
            <w:tcW w:type="dxa" w:w="1440"/>
            <w:vAlign w:val="center"/>
          </w:tcPr>
          <w:p>
            <w:r>
              <w:t>138</w:t>
            </w:r>
          </w:p>
        </w:tc>
        <w:tc>
          <w:tcPr>
            <w:tcW w:type="dxa" w:w="1440"/>
            <w:vAlign w:val="center"/>
          </w:tcPr>
          <w:p>
            <w:r>
              <w:t>152</w:t>
            </w:r>
          </w:p>
        </w:tc>
        <w:tc>
          <w:tcPr>
            <w:tcW w:type="dxa" w:w="1440"/>
            <w:vAlign w:val="center"/>
          </w:tcPr>
          <w:p>
            <w:r>
              <w:t>2.980</w:t>
            </w:r>
          </w:p>
        </w:tc>
        <w:tc>
          <w:tcPr>
            <w:tcW w:type="dxa" w:w="1440"/>
            <w:vAlign w:val="center"/>
          </w:tcPr>
          <w:p>
            <w:r>
              <w:t>2.836</w:t>
            </w:r>
          </w:p>
        </w:tc>
        <w:tc>
          <w:tcPr>
            <w:tcW w:type="dxa" w:w="1440"/>
            <w:vAlign w:val="center"/>
          </w:tcPr>
          <w:p>
            <w:r>
              <w:t>-0.144</w:t>
            </w:r>
          </w:p>
        </w:tc>
        <w:tc>
          <w:tcPr>
            <w:tcW w:type="dxa" w:w="1440"/>
            <w:vAlign w:val="center"/>
          </w:tcPr>
          <w:p>
            <w:r>
              <w:t>0.635</w:t>
            </w:r>
          </w:p>
        </w:tc>
      </w:tr>
      <w:tr>
        <w:tc>
          <w:tcPr>
            <w:tcW w:type="dxa" w:w="1440"/>
            <w:vAlign w:val="center"/>
          </w:tcPr>
          <w:p>
            <w:r>
              <w:t>GSE17536</w:t>
            </w:r>
          </w:p>
        </w:tc>
        <w:tc>
          <w:tcPr>
            <w:tcW w:type="dxa" w:w="1440"/>
            <w:vAlign w:val="center"/>
          </w:tcPr>
          <w:p>
            <w:r>
              <w:t>81</w:t>
            </w:r>
          </w:p>
        </w:tc>
        <w:tc>
          <w:tcPr>
            <w:tcW w:type="dxa" w:w="1440"/>
            <w:vAlign w:val="center"/>
          </w:tcPr>
          <w:p>
            <w:r>
              <w:t>96</w:t>
            </w:r>
          </w:p>
        </w:tc>
        <w:tc>
          <w:tcPr>
            <w:tcW w:type="dxa" w:w="1440"/>
            <w:vAlign w:val="center"/>
          </w:tcPr>
          <w:p>
            <w:r>
              <w:t>6.644</w:t>
            </w:r>
          </w:p>
        </w:tc>
        <w:tc>
          <w:tcPr>
            <w:tcW w:type="dxa" w:w="1440"/>
            <w:vAlign w:val="center"/>
          </w:tcPr>
          <w:p>
            <w:r>
              <w:t>6.657</w:t>
            </w:r>
          </w:p>
        </w:tc>
        <w:tc>
          <w:tcPr>
            <w:tcW w:type="dxa" w:w="1440"/>
            <w:vAlign w:val="center"/>
          </w:tcPr>
          <w:p>
            <w:r>
              <w:t>0.013</w:t>
            </w:r>
          </w:p>
        </w:tc>
        <w:tc>
          <w:tcPr>
            <w:tcW w:type="dxa" w:w="1440"/>
            <w:vAlign w:val="center"/>
          </w:tcPr>
          <w:p>
            <w:r>
              <w:t>0.639</w:t>
            </w:r>
          </w:p>
        </w:tc>
      </w:tr>
      <w:tr>
        <w:tc>
          <w:tcPr>
            <w:tcW w:type="dxa" w:w="1440"/>
            <w:vAlign w:val="center"/>
          </w:tcPr>
          <w:p>
            <w:r>
              <w:t>GSE17537</w:t>
            </w:r>
          </w:p>
        </w:tc>
        <w:tc>
          <w:tcPr>
            <w:tcW w:type="dxa" w:w="1440"/>
            <w:vAlign w:val="center"/>
          </w:tcPr>
          <w:p>
            <w:r>
              <w:t>19</w:t>
            </w:r>
          </w:p>
        </w:tc>
        <w:tc>
          <w:tcPr>
            <w:tcW w:type="dxa" w:w="1440"/>
            <w:vAlign w:val="center"/>
          </w:tcPr>
          <w:p>
            <w:r>
              <w:t>36</w:t>
            </w:r>
          </w:p>
        </w:tc>
        <w:tc>
          <w:tcPr>
            <w:tcW w:type="dxa" w:w="1440"/>
            <w:vAlign w:val="center"/>
          </w:tcPr>
          <w:p>
            <w:r>
              <w:t>6.841</w:t>
            </w:r>
          </w:p>
        </w:tc>
        <w:tc>
          <w:tcPr>
            <w:tcW w:type="dxa" w:w="1440"/>
            <w:vAlign w:val="center"/>
          </w:tcPr>
          <w:p>
            <w:r>
              <w:t>6.378</w:t>
            </w:r>
          </w:p>
        </w:tc>
        <w:tc>
          <w:tcPr>
            <w:tcW w:type="dxa" w:w="1440"/>
            <w:vAlign w:val="center"/>
          </w:tcPr>
          <w:p>
            <w:r>
              <w:t>-0.463</w:t>
            </w:r>
          </w:p>
        </w:tc>
        <w:tc>
          <w:tcPr>
            <w:tcW w:type="dxa" w:w="1440"/>
            <w:vAlign w:val="center"/>
          </w:tcPr>
          <w:p>
            <w:r>
              <w:t>0.261</w:t>
            </w:r>
          </w:p>
        </w:tc>
      </w:tr>
      <w:tr>
        <w:tc>
          <w:tcPr>
            <w:tcW w:type="dxa" w:w="1440"/>
            <w:vAlign w:val="center"/>
          </w:tcPr>
          <w:p>
            <w:r>
              <w:t>GSE39582</w:t>
            </w:r>
          </w:p>
        </w:tc>
        <w:tc>
          <w:tcPr>
            <w:tcW w:type="dxa" w:w="1440"/>
            <w:vAlign w:val="center"/>
          </w:tcPr>
          <w:p>
            <w:r>
              <w:t>309</w:t>
            </w:r>
          </w:p>
        </w:tc>
        <w:tc>
          <w:tcPr>
            <w:tcW w:type="dxa" w:w="1440"/>
            <w:vAlign w:val="center"/>
          </w:tcPr>
          <w:p>
            <w:r>
              <w:t>270</w:t>
            </w:r>
          </w:p>
        </w:tc>
        <w:tc>
          <w:tcPr>
            <w:tcW w:type="dxa" w:w="1440"/>
            <w:vAlign w:val="center"/>
          </w:tcPr>
          <w:p>
            <w:r>
              <w:t>4.106</w:t>
            </w:r>
          </w:p>
        </w:tc>
        <w:tc>
          <w:tcPr>
            <w:tcW w:type="dxa" w:w="1440"/>
            <w:vAlign w:val="center"/>
          </w:tcPr>
          <w:p>
            <w:r>
              <w:t>4.044</w:t>
            </w:r>
          </w:p>
        </w:tc>
        <w:tc>
          <w:tcPr>
            <w:tcW w:type="dxa" w:w="1440"/>
            <w:vAlign w:val="center"/>
          </w:tcPr>
          <w:p>
            <w:r>
              <w:t>-0.062</w:t>
            </w:r>
          </w:p>
        </w:tc>
        <w:tc>
          <w:tcPr>
            <w:tcW w:type="dxa" w:w="1440"/>
            <w:vAlign w:val="center"/>
          </w:tcPr>
          <w:p>
            <w:r>
              <w:t>0.464</w:t>
            </w:r>
          </w:p>
        </w:tc>
      </w:tr>
    </w:tbl>
    <w:p/>
    <w:p>
      <w:pPr>
        <w:pStyle w:val="Heading2"/>
      </w:pPr>
      <w:r>
        <w:t>Survival validation (Supplementary Table S12)</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Pr>
                <w:b/>
              </w:rPr>
              <w:t>cohort</w:t>
            </w:r>
          </w:p>
        </w:tc>
        <w:tc>
          <w:tcPr>
            <w:tcW w:type="dxa" w:w="1260"/>
            <w:vAlign w:val="center"/>
          </w:tcPr>
          <w:p>
            <w:r>
              <w:rPr>
                <w:b/>
              </w:rPr>
              <w:t>endpoint</w:t>
            </w:r>
          </w:p>
        </w:tc>
        <w:tc>
          <w:tcPr>
            <w:tcW w:type="dxa" w:w="1260"/>
            <w:vAlign w:val="center"/>
          </w:tcPr>
          <w:p>
            <w:r>
              <w:rPr>
                <w:b/>
              </w:rPr>
              <w:t>n</w:t>
            </w:r>
          </w:p>
        </w:tc>
        <w:tc>
          <w:tcPr>
            <w:tcW w:type="dxa" w:w="1260"/>
            <w:vAlign w:val="center"/>
          </w:tcPr>
          <w:p>
            <w:r>
              <w:rPr>
                <w:b/>
              </w:rPr>
              <w:t>events</w:t>
            </w:r>
          </w:p>
        </w:tc>
        <w:tc>
          <w:tcPr>
            <w:tcW w:type="dxa" w:w="1260"/>
            <w:vAlign w:val="center"/>
          </w:tcPr>
          <w:p>
            <w:r>
              <w:rPr>
                <w:b/>
              </w:rPr>
              <w:t>HR_per_1SD_IL6R</w:t>
            </w:r>
          </w:p>
        </w:tc>
        <w:tc>
          <w:tcPr>
            <w:tcW w:type="dxa" w:w="1260"/>
            <w:vAlign w:val="center"/>
          </w:tcPr>
          <w:p>
            <w:r>
              <w:rPr>
                <w:b/>
              </w:rPr>
              <w:t>CI_low</w:t>
            </w:r>
          </w:p>
        </w:tc>
        <w:tc>
          <w:tcPr>
            <w:tcW w:type="dxa" w:w="1260"/>
            <w:vAlign w:val="center"/>
          </w:tcPr>
          <w:p>
            <w:r>
              <w:rPr>
                <w:b/>
              </w:rPr>
              <w:t>CI_high</w:t>
            </w:r>
          </w:p>
        </w:tc>
        <w:tc>
          <w:tcPr>
            <w:tcW w:type="dxa" w:w="1260"/>
            <w:vAlign w:val="center"/>
          </w:tcPr>
          <w:p>
            <w:r>
              <w:rPr>
                <w:b/>
              </w:rPr>
              <w:t>p_value</w:t>
            </w:r>
          </w:p>
        </w:tc>
      </w:tr>
      <w:tr>
        <w:tc>
          <w:tcPr>
            <w:tcW w:type="dxa" w:w="1260"/>
            <w:vAlign w:val="center"/>
          </w:tcPr>
          <w:p>
            <w:r>
              <w:t>GSE17536</w:t>
            </w:r>
          </w:p>
        </w:tc>
        <w:tc>
          <w:tcPr>
            <w:tcW w:type="dxa" w:w="1260"/>
            <w:vAlign w:val="center"/>
          </w:tcPr>
          <w:p>
            <w:r>
              <w:t>OS</w:t>
            </w:r>
          </w:p>
        </w:tc>
        <w:tc>
          <w:tcPr>
            <w:tcW w:type="dxa" w:w="1260"/>
            <w:vAlign w:val="center"/>
          </w:tcPr>
          <w:p>
            <w:r>
              <w:t>177</w:t>
            </w:r>
          </w:p>
        </w:tc>
        <w:tc>
          <w:tcPr>
            <w:tcW w:type="dxa" w:w="1260"/>
            <w:vAlign w:val="center"/>
          </w:tcPr>
          <w:p>
            <w:r>
              <w:t>73</w:t>
            </w:r>
          </w:p>
        </w:tc>
        <w:tc>
          <w:tcPr>
            <w:tcW w:type="dxa" w:w="1260"/>
            <w:vAlign w:val="center"/>
          </w:tcPr>
          <w:p>
            <w:r>
              <w:t>0.897</w:t>
            </w:r>
          </w:p>
        </w:tc>
        <w:tc>
          <w:tcPr>
            <w:tcW w:type="dxa" w:w="1260"/>
            <w:vAlign w:val="center"/>
          </w:tcPr>
          <w:p>
            <w:r>
              <w:t>0.709</w:t>
            </w:r>
          </w:p>
        </w:tc>
        <w:tc>
          <w:tcPr>
            <w:tcW w:type="dxa" w:w="1260"/>
            <w:vAlign w:val="center"/>
          </w:tcPr>
          <w:p>
            <w:r>
              <w:t>1.135</w:t>
            </w:r>
          </w:p>
        </w:tc>
        <w:tc>
          <w:tcPr>
            <w:tcW w:type="dxa" w:w="1260"/>
            <w:vAlign w:val="center"/>
          </w:tcPr>
          <w:p>
            <w:r>
              <w:t>0.366</w:t>
            </w:r>
          </w:p>
        </w:tc>
      </w:tr>
      <w:tr>
        <w:tc>
          <w:tcPr>
            <w:tcW w:type="dxa" w:w="1260"/>
            <w:vAlign w:val="center"/>
          </w:tcPr>
          <w:p>
            <w:r>
              <w:t>GSE17537</w:t>
            </w:r>
          </w:p>
        </w:tc>
        <w:tc>
          <w:tcPr>
            <w:tcW w:type="dxa" w:w="1260"/>
            <w:vAlign w:val="center"/>
          </w:tcPr>
          <w:p>
            <w:r>
              <w:t>OS</w:t>
            </w:r>
          </w:p>
        </w:tc>
        <w:tc>
          <w:tcPr>
            <w:tcW w:type="dxa" w:w="1260"/>
            <w:vAlign w:val="center"/>
          </w:tcPr>
          <w:p>
            <w:r>
              <w:t>55</w:t>
            </w:r>
          </w:p>
        </w:tc>
        <w:tc>
          <w:tcPr>
            <w:tcW w:type="dxa" w:w="1260"/>
            <w:vAlign w:val="center"/>
          </w:tcPr>
          <w:p>
            <w:r>
              <w:t>20</w:t>
            </w:r>
          </w:p>
        </w:tc>
        <w:tc>
          <w:tcPr>
            <w:tcW w:type="dxa" w:w="1260"/>
            <w:vAlign w:val="center"/>
          </w:tcPr>
          <w:p>
            <w:r>
              <w:t>1.323</w:t>
            </w:r>
          </w:p>
        </w:tc>
        <w:tc>
          <w:tcPr>
            <w:tcW w:type="dxa" w:w="1260"/>
            <w:vAlign w:val="center"/>
          </w:tcPr>
          <w:p>
            <w:r>
              <w:t>0.865</w:t>
            </w:r>
          </w:p>
        </w:tc>
        <w:tc>
          <w:tcPr>
            <w:tcW w:type="dxa" w:w="1260"/>
            <w:vAlign w:val="center"/>
          </w:tcPr>
          <w:p>
            <w:r>
              <w:t>2.024</w:t>
            </w:r>
          </w:p>
        </w:tc>
        <w:tc>
          <w:tcPr>
            <w:tcW w:type="dxa" w:w="1260"/>
            <w:vAlign w:val="center"/>
          </w:tcPr>
          <w:p>
            <w:r>
              <w:t>0.196</w:t>
            </w:r>
          </w:p>
        </w:tc>
      </w:tr>
      <w:tr>
        <w:tc>
          <w:tcPr>
            <w:tcW w:type="dxa" w:w="1260"/>
            <w:vAlign w:val="center"/>
          </w:tcPr>
          <w:p>
            <w:r>
              <w:t>GSE39582</w:t>
            </w:r>
          </w:p>
        </w:tc>
        <w:tc>
          <w:tcPr>
            <w:tcW w:type="dxa" w:w="1260"/>
            <w:vAlign w:val="center"/>
          </w:tcPr>
          <w:p>
            <w:r>
              <w:t>OS</w:t>
            </w:r>
          </w:p>
        </w:tc>
        <w:tc>
          <w:tcPr>
            <w:tcW w:type="dxa" w:w="1260"/>
            <w:vAlign w:val="center"/>
          </w:tcPr>
          <w:p>
            <w:r>
              <w:t>573</w:t>
            </w:r>
          </w:p>
        </w:tc>
        <w:tc>
          <w:tcPr>
            <w:tcW w:type="dxa" w:w="1260"/>
            <w:vAlign w:val="center"/>
          </w:tcPr>
          <w:p>
            <w:r>
              <w:t>190</w:t>
            </w:r>
          </w:p>
        </w:tc>
        <w:tc>
          <w:tcPr>
            <w:tcW w:type="dxa" w:w="1260"/>
            <w:vAlign w:val="center"/>
          </w:tcPr>
          <w:p>
            <w:r>
              <w:t>0.993</w:t>
            </w:r>
          </w:p>
        </w:tc>
        <w:tc>
          <w:tcPr>
            <w:tcW w:type="dxa" w:w="1260"/>
            <w:vAlign w:val="center"/>
          </w:tcPr>
          <w:p>
            <w:r>
              <w:t>0.867</w:t>
            </w:r>
          </w:p>
        </w:tc>
        <w:tc>
          <w:tcPr>
            <w:tcW w:type="dxa" w:w="1260"/>
            <w:vAlign w:val="center"/>
          </w:tcPr>
          <w:p>
            <w:r>
              <w:t>1.138</w:t>
            </w:r>
          </w:p>
        </w:tc>
        <w:tc>
          <w:tcPr>
            <w:tcW w:type="dxa" w:w="1260"/>
            <w:vAlign w:val="center"/>
          </w:tcPr>
          <w:p>
            <w:r>
              <w:t>0.922</w:t>
            </w:r>
          </w:p>
        </w:tc>
      </w:tr>
      <w:tr>
        <w:tc>
          <w:tcPr>
            <w:tcW w:type="dxa" w:w="1260"/>
            <w:vAlign w:val="center"/>
          </w:tcPr>
          <w:p>
            <w:r>
              <w:t>GSE17536</w:t>
            </w:r>
          </w:p>
        </w:tc>
        <w:tc>
          <w:tcPr>
            <w:tcW w:type="dxa" w:w="1260"/>
            <w:vAlign w:val="center"/>
          </w:tcPr>
          <w:p>
            <w:r>
              <w:t>DFS</w:t>
            </w:r>
          </w:p>
        </w:tc>
        <w:tc>
          <w:tcPr>
            <w:tcW w:type="dxa" w:w="1260"/>
            <w:vAlign w:val="center"/>
          </w:tcPr>
          <w:p>
            <w:r>
              <w:t>145</w:t>
            </w:r>
          </w:p>
        </w:tc>
        <w:tc>
          <w:tcPr>
            <w:tcW w:type="dxa" w:w="1260"/>
            <w:vAlign w:val="center"/>
          </w:tcPr>
          <w:p>
            <w:r>
              <w:t>36</w:t>
            </w:r>
          </w:p>
        </w:tc>
        <w:tc>
          <w:tcPr>
            <w:tcW w:type="dxa" w:w="1260"/>
            <w:vAlign w:val="center"/>
          </w:tcPr>
          <w:p>
            <w:r>
              <w:t>1.003</w:t>
            </w:r>
          </w:p>
        </w:tc>
        <w:tc>
          <w:tcPr>
            <w:tcW w:type="dxa" w:w="1260"/>
            <w:vAlign w:val="center"/>
          </w:tcPr>
          <w:p>
            <w:r>
              <w:t>0.723</w:t>
            </w:r>
          </w:p>
        </w:tc>
        <w:tc>
          <w:tcPr>
            <w:tcW w:type="dxa" w:w="1260"/>
            <w:vAlign w:val="center"/>
          </w:tcPr>
          <w:p>
            <w:r>
              <w:t>1.391</w:t>
            </w:r>
          </w:p>
        </w:tc>
        <w:tc>
          <w:tcPr>
            <w:tcW w:type="dxa" w:w="1260"/>
            <w:vAlign w:val="center"/>
          </w:tcPr>
          <w:p>
            <w:r>
              <w:t>0.987</w:t>
            </w:r>
          </w:p>
        </w:tc>
      </w:tr>
      <w:tr>
        <w:tc>
          <w:tcPr>
            <w:tcW w:type="dxa" w:w="1260"/>
            <w:vAlign w:val="center"/>
          </w:tcPr>
          <w:p>
            <w:r>
              <w:t>GSE17537</w:t>
            </w:r>
          </w:p>
        </w:tc>
        <w:tc>
          <w:tcPr>
            <w:tcW w:type="dxa" w:w="1260"/>
            <w:vAlign w:val="center"/>
          </w:tcPr>
          <w:p>
            <w:r>
              <w:t>DFS</w:t>
            </w:r>
          </w:p>
        </w:tc>
        <w:tc>
          <w:tcPr>
            <w:tcW w:type="dxa" w:w="1260"/>
            <w:vAlign w:val="center"/>
          </w:tcPr>
          <w:p>
            <w:r>
              <w:t>42</w:t>
            </w:r>
          </w:p>
        </w:tc>
        <w:tc>
          <w:tcPr>
            <w:tcW w:type="dxa" w:w="1260"/>
            <w:vAlign w:val="center"/>
          </w:tcPr>
          <w:p>
            <w:r>
              <w:t>6</w:t>
            </w:r>
          </w:p>
        </w:tc>
        <w:tc>
          <w:tcPr>
            <w:tcW w:type="dxa" w:w="1260"/>
            <w:vAlign w:val="center"/>
          </w:tcPr>
          <w:p>
            <w:r>
              <w:t>0.567</w:t>
            </w:r>
          </w:p>
        </w:tc>
        <w:tc>
          <w:tcPr>
            <w:tcW w:type="dxa" w:w="1260"/>
            <w:vAlign w:val="center"/>
          </w:tcPr>
          <w:p>
            <w:r>
              <w:t>0.208</w:t>
            </w:r>
          </w:p>
        </w:tc>
        <w:tc>
          <w:tcPr>
            <w:tcW w:type="dxa" w:w="1260"/>
            <w:vAlign w:val="center"/>
          </w:tcPr>
          <w:p>
            <w:r>
              <w:t>1.546</w:t>
            </w:r>
          </w:p>
        </w:tc>
        <w:tc>
          <w:tcPr>
            <w:tcW w:type="dxa" w:w="1260"/>
            <w:vAlign w:val="center"/>
          </w:tcPr>
          <w:p>
            <w:r>
              <w:t>0.267</w:t>
            </w:r>
          </w:p>
        </w:tc>
      </w:tr>
      <w:tr>
        <w:tc>
          <w:tcPr>
            <w:tcW w:type="dxa" w:w="1260"/>
            <w:vAlign w:val="center"/>
          </w:tcPr>
          <w:p>
            <w:r>
              <w:t>GSE39582</w:t>
            </w:r>
          </w:p>
        </w:tc>
        <w:tc>
          <w:tcPr>
            <w:tcW w:type="dxa" w:w="1260"/>
            <w:vAlign w:val="center"/>
          </w:tcPr>
          <w:p>
            <w:r>
              <w:t>DFS</w:t>
            </w:r>
          </w:p>
        </w:tc>
        <w:tc>
          <w:tcPr>
            <w:tcW w:type="dxa" w:w="1260"/>
            <w:vAlign w:val="center"/>
          </w:tcPr>
          <w:p>
            <w:r>
              <w:t>536</w:t>
            </w:r>
          </w:p>
        </w:tc>
        <w:tc>
          <w:tcPr>
            <w:tcW w:type="dxa" w:w="1260"/>
            <w:vAlign w:val="center"/>
          </w:tcPr>
          <w:p>
            <w:r>
              <w:t>147</w:t>
            </w:r>
          </w:p>
        </w:tc>
        <w:tc>
          <w:tcPr>
            <w:tcW w:type="dxa" w:w="1260"/>
            <w:vAlign w:val="center"/>
          </w:tcPr>
          <w:p>
            <w:r>
              <w:t>0.928</w:t>
            </w:r>
          </w:p>
        </w:tc>
        <w:tc>
          <w:tcPr>
            <w:tcW w:type="dxa" w:w="1260"/>
            <w:vAlign w:val="center"/>
          </w:tcPr>
          <w:p>
            <w:r>
              <w:t>0.786</w:t>
            </w:r>
          </w:p>
        </w:tc>
        <w:tc>
          <w:tcPr>
            <w:tcW w:type="dxa" w:w="1260"/>
            <w:vAlign w:val="center"/>
          </w:tcPr>
          <w:p>
            <w:r>
              <w:t>1.096</w:t>
            </w:r>
          </w:p>
        </w:tc>
        <w:tc>
          <w:tcPr>
            <w:tcW w:type="dxa" w:w="1260"/>
            <w:vAlign w:val="center"/>
          </w:tcPr>
          <w:p>
            <w:r>
              <w:t>0.380</w:t>
            </w:r>
          </w:p>
        </w:tc>
      </w:tr>
      <w:tr>
        <w:tc>
          <w:tcPr>
            <w:tcW w:type="dxa" w:w="1260"/>
            <w:vAlign w:val="center"/>
          </w:tcPr>
          <w:p>
            <w:r>
              <w:t>GSE17536</w:t>
            </w:r>
          </w:p>
        </w:tc>
        <w:tc>
          <w:tcPr>
            <w:tcW w:type="dxa" w:w="1260"/>
            <w:vAlign w:val="center"/>
          </w:tcPr>
          <w:p>
            <w:r>
              <w:t>DSS</w:t>
            </w:r>
          </w:p>
        </w:tc>
        <w:tc>
          <w:tcPr>
            <w:tcW w:type="dxa" w:w="1260"/>
            <w:vAlign w:val="center"/>
          </w:tcPr>
          <w:p>
            <w:r>
              <w:t>177</w:t>
            </w:r>
          </w:p>
        </w:tc>
        <w:tc>
          <w:tcPr>
            <w:tcW w:type="dxa" w:w="1260"/>
            <w:vAlign w:val="center"/>
          </w:tcPr>
          <w:p>
            <w:r>
              <w:t>55</w:t>
            </w:r>
          </w:p>
        </w:tc>
        <w:tc>
          <w:tcPr>
            <w:tcW w:type="dxa" w:w="1260"/>
            <w:vAlign w:val="center"/>
          </w:tcPr>
          <w:p>
            <w:r>
              <w:t>0.923</w:t>
            </w:r>
          </w:p>
        </w:tc>
        <w:tc>
          <w:tcPr>
            <w:tcW w:type="dxa" w:w="1260"/>
            <w:vAlign w:val="center"/>
          </w:tcPr>
          <w:p>
            <w:r>
              <w:t>0.704</w:t>
            </w:r>
          </w:p>
        </w:tc>
        <w:tc>
          <w:tcPr>
            <w:tcW w:type="dxa" w:w="1260"/>
            <w:vAlign w:val="center"/>
          </w:tcPr>
          <w:p>
            <w:r>
              <w:t>1.209</w:t>
            </w:r>
          </w:p>
        </w:tc>
        <w:tc>
          <w:tcPr>
            <w:tcW w:type="dxa" w:w="1260"/>
            <w:vAlign w:val="center"/>
          </w:tcPr>
          <w:p>
            <w:r>
              <w:t>0.560</w:t>
            </w:r>
          </w:p>
        </w:tc>
      </w:tr>
    </w:tbl>
    <w:p/>
    <w:p>
      <w:pPr>
        <w:pStyle w:val="Heading1"/>
      </w:pPr>
      <w:r>
        <w:t>3. Figure decisions</w:t>
      </w:r>
    </w:p>
    <w:p>
      <w:r>
        <w:t>Figure 6: I generated a new v51 candidate from the v50 cell-level GSE146771 source table. It is cleaner and more directly supports the immune/myeloid IL6R-axis logic. Because it uses an expression/module-score source table rather than the full CellChat object, it should either replace the previous Figure 6 after local review or be used as a cleaner supplementary single-cell expression figure.</w:t>
      </w:r>
    </w:p>
    <w:p>
      <w:r>
        <w:t>Supplementary Figure S2: Add this as the formal manual GEO validation figure. It directly addresses the prior independent-validation weakness and should be cited in Results and Discussion.</w:t>
      </w:r>
    </w:p>
    <w:p>
      <w:r>
        <w:t>Figure source-data/code crosswalk: Add Supplementary Table S8 to improve reproducibility and satisfy reviewer expectations for computational transparency.</w:t>
      </w:r>
    </w:p>
    <w:p>
      <w:pPr>
        <w:pStyle w:val="Heading1"/>
      </w:pPr>
      <w:r>
        <w:t>4. JTM compliance implications</w:t>
      </w:r>
    </w:p>
    <w:p>
      <w:r>
        <w:t>JTM/Springer guidance states that multi-panel figures should be submitted as a single composite file, figure titles and legends should be in the manuscript rather than embedded only in the graphic, and datasets supporting conclusions should be available in repositories or supporting files. The v51 package follows this direction by adding composite figure files, standalone legends, source-data tables and a repository/Zenodo update note.</w:t>
      </w:r>
    </w:p>
    <w:p>
      <w:r>
        <w:t>Remaining action: after local confirmation, create a new GitHub release (for example v1.1.0) and archive it in Zenodo to obtain a DOI. Then update the Data availability statement with the release URL/DOI.</w:t>
      </w:r>
    </w:p>
    <w:p>
      <w:pPr>
        <w:pStyle w:val="Heading1"/>
      </w:pPr>
      <w:r>
        <w:t>5. Recommended manuscript logic</w:t>
      </w:r>
    </w:p>
    <w:p>
      <w:r>
        <w:t>The strongest final narrative is: negative MR/colocalization and non-prognostic TCGA/GEO survival results argue against IL6R as a direct circulating-protein causal risk factor or standalone prognostic biomarker; lower tumour expression relative to normal/non-tumoral tissue argues against a simple tumour-intrinsic oncogene model; immune deconvolution, scRNA and support-layer analyses converge on IL6R as an immune/myeloid/inflammatory microenvironment marker.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