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sz w:val="34"/>
        </w:rPr>
        <w:t>Supplementary material</w:t>
      </w:r>
    </w:p>
    <w:p>
      <w:pPr/>
      <w:r>
        <w:rPr>
          <w:rFonts w:ascii="Times New Roman" w:hAnsi="Times New Roman"/>
          <w:b w:val="0"/>
          <w:sz w:val="22"/>
        </w:rPr>
        <w:t>Zhi Chen and Teng Qi</w:t>
      </w:r>
    </w:p>
    <w:p>
      <w:pPr/>
      <w:r>
        <w:rPr>
          <w:rFonts w:ascii="Times New Roman" w:hAnsi="Times New Roman"/>
          <w:b w:val="0"/>
          <w:sz w:val="22"/>
        </w:rPr>
        <w:t>Companion to manuscript candidate v1.6.2. Scientific records are unchanged. Author declarations are recorded in the main manuscript; individual contribution roles remain to be documented.</w:t>
      </w:r>
    </w:p>
    <w:p>
      <w:pPr>
        <w:keepNext/>
        <w:spacing w:line="240" w:lineRule="auto" w:after="80"/>
        <w:jc w:val="center"/>
        <w:suppressLineNumbers/>
      </w:pPr>
      <w:r>
        <w:drawing>
          <wp:inline xmlns:a="http://schemas.openxmlformats.org/drawingml/2006/main" xmlns:pic="http://schemas.openxmlformats.org/drawingml/2006/picture">
            <wp:extent cx="6120000" cy="2973623"/>
            <wp:docPr id="1" name="Picture 1"/>
            <wp:cNvGraphicFramePr>
              <a:graphicFrameLocks noChangeAspect="1"/>
            </wp:cNvGraphicFramePr>
            <a:graphic>
              <a:graphicData uri="http://schemas.openxmlformats.org/drawingml/2006/picture">
                <pic:pic>
                  <pic:nvPicPr>
                    <pic:cNvPr id="0" name="FigureS1_cross_trial_eligibility.png"/>
                    <pic:cNvPicPr/>
                  </pic:nvPicPr>
                  <pic:blipFill>
                    <a:blip r:embed="rId10"/>
                    <a:stretch>
                      <a:fillRect/>
                    </a:stretch>
                  </pic:blipFill>
                  <pic:spPr>
                    <a:xfrm>
                      <a:off x="0" y="0"/>
                      <a:ext cx="6120000" cy="2973623"/>
                    </a:xfrm>
                    <a:prstGeom prst="rect"/>
                  </pic:spPr>
                </pic:pic>
              </a:graphicData>
            </a:graphic>
          </wp:inline>
        </w:drawing>
      </w:r>
    </w:p>
    <w:p>
      <w:pPr>
        <w:pStyle w:val="Caption"/>
        <w:suppressLineNumbers/>
      </w:pPr>
      <w:r>
        <w:rPr>
          <w:rFonts w:ascii="Times New Roman" w:hAnsi="Times New Roman"/>
          <w:b/>
          <w:sz w:val="20"/>
        </w:rPr>
        <w:t>Supplementary Figure S1 | Historical dependency clusters and current eligibility.</w:t>
      </w:r>
      <w:r>
        <w:rPr>
          <w:rFonts w:ascii="Times New Roman" w:hAnsi="Times New Roman"/>
          <w:b w:val="0"/>
          <w:sz w:val="20"/>
        </w:rPr>
        <w:t xml:space="preserve"> </w:t>
      </w:r>
      <w:r>
        <w:rPr>
          <w:rFonts w:ascii="Times New Roman" w:hAnsi="Times New Roman"/>
          <w:b/>
          <w:sz w:val="20"/>
        </w:rPr>
        <w:t>a,</w:t>
      </w:r>
      <w:r>
        <w:rPr>
          <w:rFonts w:ascii="Times New Roman" w:hAnsi="Times New Roman"/>
          <w:b w:val="0"/>
          <w:sz w:val="20"/>
        </w:rPr>
        <w:t xml:space="preserve"> Thirteen historical units belong to three shared-resource clusters: ten TRIO/CHER-LOB, two AVAglio/GLARIUS and one IGG14/BrighTNess. They are not thirteen independent replication studies. </w:t>
      </w:r>
      <w:r>
        <w:rPr>
          <w:rFonts w:ascii="Times New Roman" w:hAnsi="Times New Roman"/>
          <w:b/>
          <w:sz w:val="20"/>
        </w:rPr>
        <w:t>b,</w:t>
      </w:r>
      <w:r>
        <w:rPr>
          <w:rFonts w:ascii="Times New Roman" w:hAnsi="Times New Roman"/>
          <w:b w:val="0"/>
          <w:sz w:val="20"/>
        </w:rPr>
        <w:t xml:space="preserve"> Current strict eligibility requires verified target population, sufficient estimand compatibility, independent evaluation and a recoverable positive source decision path. No current unit satisfies every requirement, so the strict replication proportion is </w:t>
      </w:r>
      <w:r>
        <w:rPr>
          <w:rFonts w:ascii="Times New Roman" w:hAnsi="Times New Roman"/>
          <w:b/>
          <w:sz w:val="20"/>
        </w:rPr>
        <w:t>not estimable</w:t>
      </w:r>
      <w:r>
        <w:rPr>
          <w:rFonts w:ascii="Times New Roman" w:hAnsi="Times New Roman"/>
          <w:b w:val="0"/>
          <w:sz w:val="20"/>
        </w:rPr>
        <w:t>, not 0%, 0/13 or 0/0. Historic numerical labels are preserved separately from current eligibility (Supplementary Table S2).</w:t>
      </w:r>
    </w:p>
    <w:p>
      <w:pPr>
        <w:keepNext/>
        <w:spacing w:line="240" w:lineRule="auto" w:after="80"/>
        <w:jc w:val="center"/>
        <w:suppressLineNumbers/>
      </w:pPr>
      <w:r>
        <w:drawing>
          <wp:inline xmlns:a="http://schemas.openxmlformats.org/drawingml/2006/main" xmlns:pic="http://schemas.openxmlformats.org/drawingml/2006/picture">
            <wp:extent cx="6120000" cy="7190504"/>
            <wp:docPr id="2" name="Picture 2"/>
            <wp:cNvGraphicFramePr>
              <a:graphicFrameLocks noChangeAspect="1"/>
            </wp:cNvGraphicFramePr>
            <a:graphic>
              <a:graphicData uri="http://schemas.openxmlformats.org/drawingml/2006/picture">
                <pic:pic>
                  <pic:nvPicPr>
                    <pic:cNvPr id="0" name="FigureS2_all23_absolute_effect_sensitivities.png"/>
                    <pic:cNvPicPr/>
                  </pic:nvPicPr>
                  <pic:blipFill>
                    <a:blip r:embed="rId11"/>
                    <a:stretch>
                      <a:fillRect/>
                    </a:stretch>
                  </pic:blipFill>
                  <pic:spPr>
                    <a:xfrm>
                      <a:off x="0" y="0"/>
                      <a:ext cx="6120000" cy="7190504"/>
                    </a:xfrm>
                    <a:prstGeom prst="rect"/>
                  </pic:spPr>
                </pic:pic>
              </a:graphicData>
            </a:graphic>
          </wp:inline>
        </w:drawing>
      </w:r>
    </w:p>
    <w:p>
      <w:pPr>
        <w:pStyle w:val="Caption"/>
        <w:suppressLineNumbers/>
      </w:pPr>
      <w:r>
        <w:rPr>
          <w:rFonts w:ascii="Times New Roman" w:hAnsi="Times New Roman"/>
          <w:b/>
          <w:sz w:val="20"/>
        </w:rPr>
        <w:t>Supplementary Figure S2 | Historical absolute-effect sensitivities with explicit statistical limits.</w:t>
      </w:r>
      <w:r>
        <w:rPr>
          <w:rFonts w:ascii="Times New Roman" w:hAnsi="Times New Roman"/>
          <w:b w:val="0"/>
          <w:sz w:val="20"/>
        </w:rPr>
        <w:t xml:space="preserve"> </w:t>
      </w:r>
      <w:r>
        <w:rPr>
          <w:rFonts w:ascii="Times New Roman" w:hAnsi="Times New Roman"/>
          <w:b/>
          <w:sz w:val="20"/>
        </w:rPr>
        <w:t>a,</w:t>
      </w:r>
      <w:r>
        <w:rPr>
          <w:rFonts w:ascii="Times New Roman" w:hAnsi="Times New Roman"/>
          <w:b w:val="0"/>
          <w:sz w:val="20"/>
        </w:rPr>
        <w:t xml:space="preserve"> Ten TRIO recorded-arm sensitivities do not establish verified randomized treatment benefit. </w:t>
      </w:r>
      <w:r>
        <w:rPr>
          <w:rFonts w:ascii="Times New Roman" w:hAnsi="Times New Roman"/>
          <w:b/>
          <w:sz w:val="20"/>
        </w:rPr>
        <w:t>b,</w:t>
      </w:r>
      <w:r>
        <w:rPr>
          <w:rFonts w:ascii="Times New Roman" w:hAnsi="Times New Roman"/>
          <w:b w:val="0"/>
          <w:sz w:val="20"/>
        </w:rPr>
        <w:t xml:space="preserve"> Ten CHER-LOB calculations retain separate trial context. </w:t>
      </w:r>
      <w:r>
        <w:rPr>
          <w:rFonts w:ascii="Times New Roman" w:hAnsi="Times New Roman"/>
          <w:b/>
          <w:sz w:val="20"/>
        </w:rPr>
        <w:t>c,</w:t>
      </w:r>
      <w:r>
        <w:rPr>
          <w:rFonts w:ascii="Times New Roman" w:hAnsi="Times New Roman"/>
          <w:b w:val="0"/>
          <w:sz w:val="20"/>
        </w:rPr>
        <w:t xml:space="preserve"> Two BrighTNess and one DOP model retain distinct comparisons. Points and bars show delta RD=RD(Q75)-RD(Q25) and historical percentile 95% intervals over valid within-recorded-arm bootstrap fits, with original pooled marker quartiles fixed. Positive values indicate a larger model-predicted T=1 minus T=0 contrast at Q75. Circle denotes technical PASS; square/asterisk denotes CHER ESR1_DESMEDT's conditional interval (4,736/5,000 valid fits). The right columns report historical two-sided sign-tail summaries, historical within-family BH transformations (BH-h), and valid/requested fits. Null calibration and confirmatory FDR control were not established. T=1/T=0 are trastuzumab+lapatinib/trastuzumab in TRIO and CHER-LOB; carboplatin+paclitaxel/paclitaxel for BrighTNess IGG14; veliparib+carboplatin+paclitaxel/paclitaxel for CIN70; and durvalumab+olaparib+paclitaxel/FFPE paclitaxel control for DOP, with common protocol chemotherapy as applicable. DOP includes HR-positive and triple-negative HER2-negative disease. All 23 rows and frozen primary labels remain unchanged; no additive result is promoted to replication.</w:t>
      </w:r>
    </w:p>
    <w:p>
      <w:pPr>
        <w:keepNext/>
        <w:spacing w:line="240" w:lineRule="auto" w:after="80"/>
        <w:jc w:val="center"/>
        <w:suppressLineNumbers/>
      </w:pPr>
      <w:r>
        <w:drawing>
          <wp:inline xmlns:a="http://schemas.openxmlformats.org/drawingml/2006/main" xmlns:pic="http://schemas.openxmlformats.org/drawingml/2006/picture">
            <wp:extent cx="6120000" cy="7558667"/>
            <wp:docPr id="3" name="Picture 3"/>
            <wp:cNvGraphicFramePr>
              <a:graphicFrameLocks noChangeAspect="1"/>
            </wp:cNvGraphicFramePr>
            <a:graphic>
              <a:graphicData uri="http://schemas.openxmlformats.org/drawingml/2006/picture">
                <pic:pic>
                  <pic:nvPicPr>
                    <pic:cNvPr id="0" name="FigureS3_all27_historical_primary_estimates.png"/>
                    <pic:cNvPicPr/>
                  </pic:nvPicPr>
                  <pic:blipFill>
                    <a:blip r:embed="rId12"/>
                    <a:stretch>
                      <a:fillRect/>
                    </a:stretch>
                  </pic:blipFill>
                  <pic:spPr>
                    <a:xfrm>
                      <a:off x="0" y="0"/>
                      <a:ext cx="6120000" cy="7558667"/>
                    </a:xfrm>
                    <a:prstGeom prst="rect"/>
                  </pic:spPr>
                </pic:pic>
              </a:graphicData>
            </a:graphic>
          </wp:inline>
        </w:drawing>
      </w:r>
    </w:p>
    <w:p>
      <w:pPr>
        <w:pStyle w:val="Caption"/>
        <w:suppressLineNumbers/>
      </w:pPr>
      <w:r>
        <w:rPr>
          <w:rFonts w:ascii="Times New Roman" w:hAnsi="Times New Roman"/>
          <w:b/>
          <w:sz w:val="20"/>
        </w:rPr>
        <w:t>Supplementary Figure S3 | Complete historical primary estimates on distinct ratio scales.</w:t>
      </w:r>
      <w:r>
        <w:rPr>
          <w:rFonts w:ascii="Times New Roman" w:hAnsi="Times New Roman"/>
          <w:b w:val="0"/>
          <w:sz w:val="20"/>
        </w:rPr>
        <w:t xml:space="preserve"> </w:t>
      </w:r>
      <w:r>
        <w:rPr>
          <w:rFonts w:ascii="Times New Roman" w:hAnsi="Times New Roman"/>
          <w:b/>
          <w:sz w:val="20"/>
        </w:rPr>
        <w:t>a,b,</w:t>
      </w:r>
      <w:r>
        <w:rPr>
          <w:rFonts w:ascii="Times New Roman" w:hAnsi="Times New Roman"/>
          <w:b w:val="0"/>
          <w:sz w:val="20"/>
        </w:rPr>
        <w:t xml:space="preserve"> Ten TRIO and ten CHER-LOB historical logistic interactions are displayed separately. </w:t>
      </w:r>
      <w:r>
        <w:rPr>
          <w:rFonts w:ascii="Times New Roman" w:hAnsi="Times New Roman"/>
          <w:b/>
          <w:sz w:val="20"/>
        </w:rPr>
        <w:t>c,</w:t>
      </w:r>
      <w:r>
        <w:rPr>
          <w:rFonts w:ascii="Times New Roman" w:hAnsi="Times New Roman"/>
          <w:b w:val="0"/>
          <w:sz w:val="20"/>
        </w:rPr>
        <w:t xml:space="preserve"> The remaining seven rows include AVAglio historical A0, GLARIUS, two BrighTNess comparisons and DOP. Circles indicate interaction odds ratios; diamonds indicate Cox interaction hazard ratios; bars are the historical Wald 95% CIs. ORs and HRs are not pooled. Binary scores retain one historical pooled SD as their scale; GBM M=1 is deposited proneural, with M=0 all other labels, including Unclassified in AVAglio's frozen local coding. T=1/T=0 are specified within the figure: the HER2 dual/single contrast, separate BrighTNess B/C and A/C contrasts, DOP/FFPE control, AVAglio bevacizumab/placebo with common RT/TMZ, and GLARIUS bevacizumab+irinotecan/temozolomide with shared radiotherapy. TRIO allocation phase is unverified, GLARIUS is not exact AVAglio replication, and DOP is not exclusively TNBC. These 27 historical rows are not current strict replication verdicts; AVAglio A2/A3 remain in Figure 3.</w:t>
      </w:r>
    </w:p>
    <w:p>
      <w:pPr>
        <w:pStyle w:val="Heading1"/>
      </w:pPr>
      <w:r>
        <w:rPr>
          <w:rFonts w:ascii="Times New Roman" w:hAnsi="Times New Roman"/>
          <w:b/>
          <w:sz w:val="26"/>
        </w:rPr>
        <w:t>Supplementary tables</w:t>
      </w:r>
    </w:p>
    <w:p>
      <w:pPr>
        <w:pStyle w:val="Caption"/>
        <w:keepNext/>
        <w:suppressLineNumbers/>
      </w:pPr>
      <w:r>
        <w:rPr>
          <w:rFonts w:ascii="Times New Roman" w:hAnsi="Times New Roman"/>
          <w:b/>
          <w:sz w:val="20"/>
        </w:rPr>
        <w:t>Supplementary Table S1 | All 27 historical primary interaction rows.</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077"/>
        <w:gridCol w:w="1587"/>
        <w:gridCol w:w="1020"/>
        <w:gridCol w:w="680"/>
        <w:gridCol w:w="2438"/>
        <w:gridCol w:w="1077"/>
        <w:gridCol w:w="1757"/>
      </w:tblGrid>
      <w:tr>
        <w:trPr>
          <w:tblHeader/>
          <w:cantSplit/>
        </w:trPr>
        <w:tc>
          <w:tcPr>
            <w:tcW w:type="dxa" w:w="1077"/>
            <w:vAlign w:val="center"/>
            <w:shd w:fill="EAF0F4" w:val="clear"/>
          </w:tcPr>
          <w:p>
            <w:pPr>
              <w:keepNext/>
              <w:spacing w:line="252" w:lineRule="auto" w:after="20" w:before="20"/>
              <w:suppressLineNumbers/>
            </w:pPr>
            <w:r>
              <w:rPr>
                <w:rFonts w:ascii="Times New Roman" w:hAnsi="Times New Roman"/>
                <w:b/>
                <w:sz w:val="18"/>
              </w:rPr>
              <w:t>Object</w:t>
            </w:r>
          </w:p>
        </w:tc>
        <w:tc>
          <w:tcPr>
            <w:tcW w:type="dxa" w:w="1587"/>
            <w:vAlign w:val="center"/>
            <w:shd w:fill="EAF0F4" w:val="clear"/>
          </w:tcPr>
          <w:p>
            <w:pPr>
              <w:keepNext/>
              <w:spacing w:line="252" w:lineRule="auto" w:after="20" w:before="20"/>
              <w:suppressLineNumbers/>
            </w:pPr>
            <w:r>
              <w:rPr>
                <w:rFonts w:ascii="Times New Roman" w:hAnsi="Times New Roman"/>
                <w:b/>
                <w:sz w:val="18"/>
              </w:rPr>
              <w:t>Trial</w:t>
            </w:r>
          </w:p>
        </w:tc>
        <w:tc>
          <w:tcPr>
            <w:tcW w:type="dxa" w:w="1020"/>
            <w:vAlign w:val="center"/>
            <w:shd w:fill="EAF0F4" w:val="clear"/>
          </w:tcPr>
          <w:p>
            <w:pPr>
              <w:keepNext/>
              <w:spacing w:line="252" w:lineRule="auto" w:after="20" w:before="20"/>
              <w:suppressLineNumbers/>
            </w:pPr>
            <w:r>
              <w:rPr>
                <w:rFonts w:ascii="Times New Roman" w:hAnsi="Times New Roman"/>
                <w:b/>
                <w:sz w:val="18"/>
              </w:rPr>
              <w:t>n/events</w:t>
            </w:r>
          </w:p>
        </w:tc>
        <w:tc>
          <w:tcPr>
            <w:tcW w:type="dxa" w:w="680"/>
            <w:vAlign w:val="center"/>
            <w:shd w:fill="EAF0F4" w:val="clear"/>
          </w:tcPr>
          <w:p>
            <w:pPr>
              <w:keepNext/>
              <w:spacing w:line="252" w:lineRule="auto" w:after="20" w:before="20"/>
              <w:suppressLineNumbers/>
            </w:pPr>
            <w:r>
              <w:rPr>
                <w:rFonts w:ascii="Times New Roman" w:hAnsi="Times New Roman"/>
                <w:b/>
                <w:sz w:val="18"/>
              </w:rPr>
              <w:t>Scale</w:t>
            </w:r>
          </w:p>
        </w:tc>
        <w:tc>
          <w:tcPr>
            <w:tcW w:type="dxa" w:w="2438"/>
            <w:vAlign w:val="center"/>
            <w:shd w:fill="EAF0F4" w:val="clear"/>
          </w:tcPr>
          <w:p>
            <w:pPr>
              <w:keepNext/>
              <w:spacing w:line="252" w:lineRule="auto" w:after="20" w:before="20"/>
              <w:suppressLineNumbers/>
            </w:pPr>
            <w:r>
              <w:rPr>
                <w:rFonts w:ascii="Times New Roman" w:hAnsi="Times New Roman"/>
                <w:b/>
                <w:sz w:val="18"/>
              </w:rPr>
              <w:t>Interaction ratio (95% CI)</w:t>
            </w:r>
          </w:p>
        </w:tc>
        <w:tc>
          <w:tcPr>
            <w:tcW w:type="dxa" w:w="1077"/>
            <w:vAlign w:val="center"/>
            <w:shd w:fill="EAF0F4" w:val="clear"/>
          </w:tcPr>
          <w:p>
            <w:pPr>
              <w:keepNext/>
              <w:spacing w:line="252" w:lineRule="auto" w:after="20" w:before="20"/>
              <w:suppressLineNumbers/>
            </w:pPr>
            <w:r>
              <w:rPr>
                <w:rFonts w:ascii="Times New Roman" w:hAnsi="Times New Roman"/>
                <w:b/>
                <w:sz w:val="18"/>
              </w:rPr>
              <w:t>Historical P</w:t>
            </w:r>
          </w:p>
        </w:tc>
        <w:tc>
          <w:tcPr>
            <w:tcW w:type="dxa" w:w="1757"/>
            <w:vAlign w:val="center"/>
            <w:shd w:fill="EAF0F4" w:val="clear"/>
          </w:tcPr>
          <w:p>
            <w:pPr>
              <w:keepNext/>
              <w:spacing w:line="252" w:lineRule="auto" w:after="20" w:before="20"/>
              <w:suppressLineNumbers/>
            </w:pPr>
            <w:r>
              <w:rPr>
                <w:rFonts w:ascii="Times New Roman" w:hAnsi="Times New Roman"/>
                <w:b/>
                <w:sz w:val="18"/>
              </w:rPr>
              <w:t>Display qualification</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HER2_01</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1.836 (0.597–5.654)</w:t>
            </w:r>
          </w:p>
        </w:tc>
        <w:tc>
          <w:tcPr>
            <w:tcW w:type="dxa" w:w="1077"/>
            <w:vAlign w:val="center"/>
          </w:tcPr>
          <w:p>
            <w:pPr>
              <w:keepNext w:val="0"/>
              <w:spacing w:line="252" w:lineRule="auto" w:after="20" w:before="20"/>
              <w:suppressLineNumbers/>
              <w:jc w:val="center"/>
            </w:pPr>
            <w:r>
              <w:rPr>
                <w:rFonts w:ascii="Times New Roman" w:hAnsi="Times New Roman"/>
                <w:b w:val="0"/>
                <w:sz w:val="18"/>
              </w:rPr>
              <w:t>0.2894</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HER2_02</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1.250 (0.501–3.118)</w:t>
            </w:r>
          </w:p>
        </w:tc>
        <w:tc>
          <w:tcPr>
            <w:tcW w:type="dxa" w:w="1077"/>
            <w:vAlign w:val="center"/>
          </w:tcPr>
          <w:p>
            <w:pPr>
              <w:keepNext w:val="0"/>
              <w:spacing w:line="252" w:lineRule="auto" w:after="20" w:before="20"/>
              <w:suppressLineNumbers/>
              <w:jc w:val="center"/>
            </w:pPr>
            <w:r>
              <w:rPr>
                <w:rFonts w:ascii="Times New Roman" w:hAnsi="Times New Roman"/>
                <w:b w:val="0"/>
                <w:sz w:val="18"/>
              </w:rPr>
              <w:t>0.6328</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HER2_03</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2.008 (0.713–5.658)</w:t>
            </w:r>
          </w:p>
        </w:tc>
        <w:tc>
          <w:tcPr>
            <w:tcW w:type="dxa" w:w="1077"/>
            <w:vAlign w:val="center"/>
          </w:tcPr>
          <w:p>
            <w:pPr>
              <w:keepNext w:val="0"/>
              <w:spacing w:line="252" w:lineRule="auto" w:after="20" w:before="20"/>
              <w:suppressLineNumbers/>
              <w:jc w:val="center"/>
            </w:pPr>
            <w:r>
              <w:rPr>
                <w:rFonts w:ascii="Times New Roman" w:hAnsi="Times New Roman"/>
                <w:b w:val="0"/>
                <w:sz w:val="18"/>
              </w:rPr>
              <w:t>0.1871</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HER2_04</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0.946 (0.352–2.540)</w:t>
            </w:r>
          </w:p>
        </w:tc>
        <w:tc>
          <w:tcPr>
            <w:tcW w:type="dxa" w:w="1077"/>
            <w:vAlign w:val="center"/>
          </w:tcPr>
          <w:p>
            <w:pPr>
              <w:keepNext w:val="0"/>
              <w:spacing w:line="252" w:lineRule="auto" w:after="20" w:before="20"/>
              <w:suppressLineNumbers/>
              <w:jc w:val="center"/>
            </w:pPr>
            <w:r>
              <w:rPr>
                <w:rFonts w:ascii="Times New Roman" w:hAnsi="Times New Roman"/>
                <w:b w:val="0"/>
                <w:sz w:val="18"/>
              </w:rPr>
              <w:t>0.9122</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HER2_05</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0.743 (0.267–2.067)</w:t>
            </w:r>
          </w:p>
        </w:tc>
        <w:tc>
          <w:tcPr>
            <w:tcW w:type="dxa" w:w="1077"/>
            <w:vAlign w:val="center"/>
          </w:tcPr>
          <w:p>
            <w:pPr>
              <w:keepNext w:val="0"/>
              <w:spacing w:line="252" w:lineRule="auto" w:after="20" w:before="20"/>
              <w:suppressLineNumbers/>
              <w:jc w:val="center"/>
            </w:pPr>
            <w:r>
              <w:rPr>
                <w:rFonts w:ascii="Times New Roman" w:hAnsi="Times New Roman"/>
                <w:b w:val="0"/>
                <w:sz w:val="18"/>
              </w:rPr>
              <w:t>0.5687</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HER2_06</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0.536 (0.202–1.422)</w:t>
            </w:r>
          </w:p>
        </w:tc>
        <w:tc>
          <w:tcPr>
            <w:tcW w:type="dxa" w:w="1077"/>
            <w:vAlign w:val="center"/>
          </w:tcPr>
          <w:p>
            <w:pPr>
              <w:keepNext w:val="0"/>
              <w:spacing w:line="252" w:lineRule="auto" w:after="20" w:before="20"/>
              <w:suppressLineNumbers/>
              <w:jc w:val="center"/>
            </w:pPr>
            <w:r>
              <w:rPr>
                <w:rFonts w:ascii="Times New Roman" w:hAnsi="Times New Roman"/>
                <w:b w:val="0"/>
                <w:sz w:val="18"/>
              </w:rPr>
              <w:t>0.2104</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HER2_07</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1.105 (0.435–2.810)</w:t>
            </w:r>
          </w:p>
        </w:tc>
        <w:tc>
          <w:tcPr>
            <w:tcW w:type="dxa" w:w="1077"/>
            <w:vAlign w:val="center"/>
          </w:tcPr>
          <w:p>
            <w:pPr>
              <w:keepNext w:val="0"/>
              <w:spacing w:line="252" w:lineRule="auto" w:after="20" w:before="20"/>
              <w:suppressLineNumbers/>
              <w:jc w:val="center"/>
            </w:pPr>
            <w:r>
              <w:rPr>
                <w:rFonts w:ascii="Times New Roman" w:hAnsi="Times New Roman"/>
                <w:b w:val="0"/>
                <w:sz w:val="18"/>
              </w:rPr>
              <w:t>0.8334</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HER2_08</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0.563 (0.221–1.433)</w:t>
            </w:r>
          </w:p>
        </w:tc>
        <w:tc>
          <w:tcPr>
            <w:tcW w:type="dxa" w:w="1077"/>
            <w:vAlign w:val="center"/>
          </w:tcPr>
          <w:p>
            <w:pPr>
              <w:keepNext w:val="0"/>
              <w:spacing w:line="252" w:lineRule="auto" w:after="20" w:before="20"/>
              <w:suppressLineNumbers/>
              <w:jc w:val="center"/>
            </w:pPr>
            <w:r>
              <w:rPr>
                <w:rFonts w:ascii="Times New Roman" w:hAnsi="Times New Roman"/>
                <w:b w:val="0"/>
                <w:sz w:val="18"/>
              </w:rPr>
              <w:t>0.2281</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HER2_09</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0.397 (0.157–1.004)</w:t>
            </w:r>
          </w:p>
        </w:tc>
        <w:tc>
          <w:tcPr>
            <w:tcW w:type="dxa" w:w="1077"/>
            <w:vAlign w:val="center"/>
          </w:tcPr>
          <w:p>
            <w:pPr>
              <w:keepNext w:val="0"/>
              <w:spacing w:line="252" w:lineRule="auto" w:after="20" w:before="20"/>
              <w:suppressLineNumbers/>
              <w:jc w:val="center"/>
            </w:pPr>
            <w:r>
              <w:rPr>
                <w:rFonts w:ascii="Times New Roman" w:hAnsi="Times New Roman"/>
                <w:b w:val="0"/>
                <w:sz w:val="18"/>
              </w:rPr>
              <w:t>0.05089</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HER2_10</w:t>
            </w:r>
          </w:p>
        </w:tc>
        <w:tc>
          <w:tcPr>
            <w:tcW w:type="dxa" w:w="1587"/>
            <w:vAlign w:val="center"/>
          </w:tcPr>
          <w:p>
            <w:pPr>
              <w:keepNext w:val="0"/>
              <w:spacing w:line="252" w:lineRule="auto" w:after="20" w:before="20"/>
              <w:suppressLineNumbers/>
            </w:pPr>
            <w:r>
              <w:rPr>
                <w:rFonts w:ascii="Times New Roman" w:hAnsi="Times New Roman"/>
                <w:b w:val="0"/>
                <w:sz w:val="18"/>
              </w:rPr>
              <w:t>TRIO-US B07</w:t>
            </w:r>
          </w:p>
        </w:tc>
        <w:tc>
          <w:tcPr>
            <w:tcW w:type="dxa" w:w="1020"/>
            <w:vAlign w:val="center"/>
          </w:tcPr>
          <w:p>
            <w:pPr>
              <w:keepNext w:val="0"/>
              <w:spacing w:line="252" w:lineRule="auto" w:after="20" w:before="20"/>
              <w:suppressLineNumbers/>
              <w:jc w:val="center"/>
            </w:pPr>
            <w:r>
              <w:rPr>
                <w:rFonts w:ascii="Times New Roman" w:hAnsi="Times New Roman"/>
                <w:b w:val="0"/>
                <w:sz w:val="18"/>
              </w:rPr>
              <w:t>81/40</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0.654 (0.268–1.593)</w:t>
            </w:r>
          </w:p>
        </w:tc>
        <w:tc>
          <w:tcPr>
            <w:tcW w:type="dxa" w:w="1077"/>
            <w:vAlign w:val="center"/>
          </w:tcPr>
          <w:p>
            <w:pPr>
              <w:keepNext w:val="0"/>
              <w:spacing w:line="252" w:lineRule="auto" w:after="20" w:before="20"/>
              <w:suppressLineNumbers/>
              <w:jc w:val="center"/>
            </w:pPr>
            <w:r>
              <w:rPr>
                <w:rFonts w:ascii="Times New Roman" w:hAnsi="Times New Roman"/>
                <w:b w:val="0"/>
                <w:sz w:val="18"/>
              </w:rPr>
              <w:t>0.3495</w:t>
            </w:r>
          </w:p>
        </w:tc>
        <w:tc>
          <w:tcPr>
            <w:tcW w:type="dxa" w:w="1757"/>
            <w:vAlign w:val="center"/>
          </w:tcPr>
          <w:p>
            <w:pPr>
              <w:keepNext w:val="0"/>
              <w:spacing w:line="252" w:lineRule="auto" w:after="20" w:before="20"/>
              <w:suppressLineNumbers/>
            </w:pPr>
            <w:r>
              <w:rPr>
                <w:rFonts w:ascii="Times New Roman" w:hAnsi="Times New Roman"/>
                <w:b w:val="0"/>
                <w:sz w:val="18"/>
              </w:rPr>
              <w:t>TRIO phase unverified</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HER2_01</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5.699 (0.808–40.173)</w:t>
            </w:r>
          </w:p>
        </w:tc>
        <w:tc>
          <w:tcPr>
            <w:tcW w:type="dxa" w:w="1077"/>
            <w:vAlign w:val="center"/>
          </w:tcPr>
          <w:p>
            <w:pPr>
              <w:keepNext w:val="0"/>
              <w:spacing w:line="252" w:lineRule="auto" w:after="20" w:before="20"/>
              <w:suppressLineNumbers/>
              <w:jc w:val="center"/>
            </w:pPr>
            <w:r>
              <w:rPr>
                <w:rFonts w:ascii="Times New Roman" w:hAnsi="Times New Roman"/>
                <w:b w:val="0"/>
                <w:sz w:val="18"/>
              </w:rPr>
              <w:t>0.08071</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HER2_02</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1.029 (0.267–3.960)</w:t>
            </w:r>
          </w:p>
        </w:tc>
        <w:tc>
          <w:tcPr>
            <w:tcW w:type="dxa" w:w="1077"/>
            <w:vAlign w:val="center"/>
          </w:tcPr>
          <w:p>
            <w:pPr>
              <w:keepNext w:val="0"/>
              <w:spacing w:line="252" w:lineRule="auto" w:after="20" w:before="20"/>
              <w:suppressLineNumbers/>
              <w:jc w:val="center"/>
            </w:pPr>
            <w:r>
              <w:rPr>
                <w:rFonts w:ascii="Times New Roman" w:hAnsi="Times New Roman"/>
                <w:b w:val="0"/>
                <w:sz w:val="18"/>
              </w:rPr>
              <w:t>0.9669</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HER2_03</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0.581 (0.171–1.972)</w:t>
            </w:r>
          </w:p>
        </w:tc>
        <w:tc>
          <w:tcPr>
            <w:tcW w:type="dxa" w:w="1077"/>
            <w:vAlign w:val="center"/>
          </w:tcPr>
          <w:p>
            <w:pPr>
              <w:keepNext w:val="0"/>
              <w:spacing w:line="252" w:lineRule="auto" w:after="20" w:before="20"/>
              <w:suppressLineNumbers/>
              <w:jc w:val="center"/>
            </w:pPr>
            <w:r>
              <w:rPr>
                <w:rFonts w:ascii="Times New Roman" w:hAnsi="Times New Roman"/>
                <w:b w:val="0"/>
                <w:sz w:val="18"/>
              </w:rPr>
              <w:t>0.3836</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HER2_04</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0.213 (0.030–1.516)</w:t>
            </w:r>
          </w:p>
        </w:tc>
        <w:tc>
          <w:tcPr>
            <w:tcW w:type="dxa" w:w="1077"/>
            <w:vAlign w:val="center"/>
          </w:tcPr>
          <w:p>
            <w:pPr>
              <w:keepNext w:val="0"/>
              <w:spacing w:line="252" w:lineRule="auto" w:after="20" w:before="20"/>
              <w:suppressLineNumbers/>
              <w:jc w:val="center"/>
            </w:pPr>
            <w:r>
              <w:rPr>
                <w:rFonts w:ascii="Times New Roman" w:hAnsi="Times New Roman"/>
                <w:b w:val="0"/>
                <w:sz w:val="18"/>
              </w:rPr>
              <w:t>0.1224</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HER2_05</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0.130 (0.015–1.153)</w:t>
            </w:r>
          </w:p>
        </w:tc>
        <w:tc>
          <w:tcPr>
            <w:tcW w:type="dxa" w:w="1077"/>
            <w:vAlign w:val="center"/>
          </w:tcPr>
          <w:p>
            <w:pPr>
              <w:keepNext w:val="0"/>
              <w:spacing w:line="252" w:lineRule="auto" w:after="20" w:before="20"/>
              <w:suppressLineNumbers/>
              <w:jc w:val="center"/>
            </w:pPr>
            <w:r>
              <w:rPr>
                <w:rFonts w:ascii="Times New Roman" w:hAnsi="Times New Roman"/>
                <w:b w:val="0"/>
                <w:sz w:val="18"/>
              </w:rPr>
              <w:t>0.06697</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HER2_06</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0.349 (0.075–1.618)</w:t>
            </w:r>
          </w:p>
        </w:tc>
        <w:tc>
          <w:tcPr>
            <w:tcW w:type="dxa" w:w="1077"/>
            <w:vAlign w:val="center"/>
          </w:tcPr>
          <w:p>
            <w:pPr>
              <w:keepNext w:val="0"/>
              <w:spacing w:line="252" w:lineRule="auto" w:after="20" w:before="20"/>
              <w:suppressLineNumbers/>
              <w:jc w:val="center"/>
            </w:pPr>
            <w:r>
              <w:rPr>
                <w:rFonts w:ascii="Times New Roman" w:hAnsi="Times New Roman"/>
                <w:b w:val="0"/>
                <w:sz w:val="18"/>
              </w:rPr>
              <w:t>0.1785</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HER2_07</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2.893 (0.746–11.222)</w:t>
            </w:r>
          </w:p>
        </w:tc>
        <w:tc>
          <w:tcPr>
            <w:tcW w:type="dxa" w:w="1077"/>
            <w:vAlign w:val="center"/>
          </w:tcPr>
          <w:p>
            <w:pPr>
              <w:keepNext w:val="0"/>
              <w:spacing w:line="252" w:lineRule="auto" w:after="20" w:before="20"/>
              <w:suppressLineNumbers/>
              <w:jc w:val="center"/>
            </w:pPr>
            <w:r>
              <w:rPr>
                <w:rFonts w:ascii="Times New Roman" w:hAnsi="Times New Roman"/>
                <w:b w:val="0"/>
                <w:sz w:val="18"/>
              </w:rPr>
              <w:t>0.1245</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HER2_08</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0.476 (0.133–1.700)</w:t>
            </w:r>
          </w:p>
        </w:tc>
        <w:tc>
          <w:tcPr>
            <w:tcW w:type="dxa" w:w="1077"/>
            <w:vAlign w:val="center"/>
          </w:tcPr>
          <w:p>
            <w:pPr>
              <w:keepNext w:val="0"/>
              <w:spacing w:line="252" w:lineRule="auto" w:after="20" w:before="20"/>
              <w:suppressLineNumbers/>
              <w:jc w:val="center"/>
            </w:pPr>
            <w:r>
              <w:rPr>
                <w:rFonts w:ascii="Times New Roman" w:hAnsi="Times New Roman"/>
                <w:b w:val="0"/>
                <w:sz w:val="18"/>
              </w:rPr>
              <w:t>0.2528</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HER2_09</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0.555 (0.167–1.839)</w:t>
            </w:r>
          </w:p>
        </w:tc>
        <w:tc>
          <w:tcPr>
            <w:tcW w:type="dxa" w:w="1077"/>
            <w:vAlign w:val="center"/>
          </w:tcPr>
          <w:p>
            <w:pPr>
              <w:keepNext w:val="0"/>
              <w:spacing w:line="252" w:lineRule="auto" w:after="20" w:before="20"/>
              <w:suppressLineNumbers/>
              <w:jc w:val="center"/>
            </w:pPr>
            <w:r>
              <w:rPr>
                <w:rFonts w:ascii="Times New Roman" w:hAnsi="Times New Roman"/>
                <w:b w:val="0"/>
                <w:sz w:val="18"/>
              </w:rPr>
              <w:t>0.3355</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HER2_10</w:t>
            </w:r>
          </w:p>
        </w:tc>
        <w:tc>
          <w:tcPr>
            <w:tcW w:type="dxa" w:w="1587"/>
            <w:vAlign w:val="center"/>
          </w:tcPr>
          <w:p>
            <w:pPr>
              <w:keepNext w:val="0"/>
              <w:spacing w:line="252" w:lineRule="auto" w:after="20" w:before="20"/>
              <w:suppressLineNumbers/>
            </w:pPr>
            <w:r>
              <w:rPr>
                <w:rFonts w:ascii="Times New Roman" w:hAnsi="Times New Roman"/>
                <w:b w:val="0"/>
                <w:sz w:val="18"/>
              </w:rPr>
              <w:t>CHER-LOB</w:t>
            </w:r>
          </w:p>
        </w:tc>
        <w:tc>
          <w:tcPr>
            <w:tcW w:type="dxa" w:w="1020"/>
            <w:vAlign w:val="center"/>
          </w:tcPr>
          <w:p>
            <w:pPr>
              <w:keepNext w:val="0"/>
              <w:spacing w:line="252" w:lineRule="auto" w:after="20" w:before="20"/>
              <w:suppressLineNumbers/>
              <w:jc w:val="center"/>
            </w:pPr>
            <w:r>
              <w:rPr>
                <w:rFonts w:ascii="Times New Roman" w:hAnsi="Times New Roman"/>
                <w:b w:val="0"/>
                <w:sz w:val="18"/>
              </w:rPr>
              <w:t>57/19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0.959 (0.298–3.087)</w:t>
            </w:r>
          </w:p>
        </w:tc>
        <w:tc>
          <w:tcPr>
            <w:tcW w:type="dxa" w:w="1077"/>
            <w:vAlign w:val="center"/>
          </w:tcPr>
          <w:p>
            <w:pPr>
              <w:keepNext w:val="0"/>
              <w:spacing w:line="252" w:lineRule="auto" w:after="20" w:before="20"/>
              <w:suppressLineNumbers/>
              <w:jc w:val="center"/>
            </w:pPr>
            <w:r>
              <w:rPr>
                <w:rFonts w:ascii="Times New Roman" w:hAnsi="Times New Roman"/>
                <w:b w:val="0"/>
                <w:sz w:val="18"/>
              </w:rPr>
              <w:t>0.9444</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GBM_01</w:t>
            </w:r>
          </w:p>
        </w:tc>
        <w:tc>
          <w:tcPr>
            <w:tcW w:type="dxa" w:w="1587"/>
            <w:vAlign w:val="center"/>
          </w:tcPr>
          <w:p>
            <w:pPr>
              <w:keepNext w:val="0"/>
              <w:spacing w:line="252" w:lineRule="auto" w:after="20" w:before="20"/>
              <w:suppressLineNumbers/>
            </w:pPr>
            <w:r>
              <w:rPr>
                <w:rFonts w:ascii="Times New Roman" w:hAnsi="Times New Roman"/>
                <w:b w:val="0"/>
                <w:sz w:val="18"/>
              </w:rPr>
              <w:t>AVAglio</w:t>
            </w:r>
          </w:p>
        </w:tc>
        <w:tc>
          <w:tcPr>
            <w:tcW w:type="dxa" w:w="1020"/>
            <w:vAlign w:val="center"/>
          </w:tcPr>
          <w:p>
            <w:pPr>
              <w:keepNext w:val="0"/>
              <w:spacing w:line="252" w:lineRule="auto" w:after="20" w:before="20"/>
              <w:suppressLineNumbers/>
              <w:jc w:val="center"/>
            </w:pPr>
            <w:r>
              <w:rPr>
                <w:rFonts w:ascii="Times New Roman" w:hAnsi="Times New Roman"/>
                <w:b w:val="0"/>
                <w:sz w:val="18"/>
              </w:rPr>
              <w:t>349/270</w:t>
            </w:r>
          </w:p>
        </w:tc>
        <w:tc>
          <w:tcPr>
            <w:tcW w:type="dxa" w:w="680"/>
            <w:vAlign w:val="center"/>
          </w:tcPr>
          <w:p>
            <w:pPr>
              <w:keepNext w:val="0"/>
              <w:spacing w:line="252" w:lineRule="auto" w:after="20" w:before="20"/>
              <w:suppressLineNumbers/>
              <w:jc w:val="center"/>
            </w:pPr>
            <w:r>
              <w:rPr>
                <w:rFonts w:ascii="Times New Roman" w:hAnsi="Times New Roman"/>
                <w:b w:val="0"/>
                <w:sz w:val="18"/>
              </w:rPr>
              <w:t>HR</w:t>
            </w:r>
          </w:p>
        </w:tc>
        <w:tc>
          <w:tcPr>
            <w:tcW w:type="dxa" w:w="2438"/>
            <w:vAlign w:val="center"/>
          </w:tcPr>
          <w:p>
            <w:pPr>
              <w:keepNext w:val="0"/>
              <w:spacing w:line="252" w:lineRule="auto" w:after="20" w:before="20"/>
              <w:suppressLineNumbers/>
            </w:pPr>
            <w:r>
              <w:rPr>
                <w:rFonts w:ascii="Times New Roman" w:hAnsi="Times New Roman"/>
                <w:b w:val="0"/>
                <w:sz w:val="18"/>
              </w:rPr>
              <w:t>0.667 (0.396–1.124)</w:t>
            </w:r>
          </w:p>
        </w:tc>
        <w:tc>
          <w:tcPr>
            <w:tcW w:type="dxa" w:w="1077"/>
            <w:vAlign w:val="center"/>
          </w:tcPr>
          <w:p>
            <w:pPr>
              <w:keepNext w:val="0"/>
              <w:spacing w:line="252" w:lineRule="auto" w:after="20" w:before="20"/>
              <w:suppressLineNumbers/>
              <w:jc w:val="center"/>
            </w:pPr>
            <w:r>
              <w:rPr>
                <w:rFonts w:ascii="Times New Roman" w:hAnsi="Times New Roman"/>
                <w:b w:val="0"/>
                <w:sz w:val="18"/>
              </w:rPr>
              <w:t>0.1287</w:t>
            </w:r>
          </w:p>
        </w:tc>
        <w:tc>
          <w:tcPr>
            <w:tcW w:type="dxa" w:w="1757"/>
            <w:vAlign w:val="center"/>
          </w:tcPr>
          <w:p>
            <w:pPr>
              <w:keepNext w:val="0"/>
              <w:spacing w:line="252" w:lineRule="auto" w:after="20" w:before="20"/>
              <w:suppressLineNumbers/>
            </w:pPr>
            <w:r>
              <w:rPr>
                <w:rFonts w:ascii="Times New Roman" w:hAnsi="Times New Roman"/>
                <w:b w:val="0"/>
                <w:sz w:val="18"/>
              </w:rPr>
              <w:t>Historical AVA A0</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GBM_02</w:t>
            </w:r>
          </w:p>
        </w:tc>
        <w:tc>
          <w:tcPr>
            <w:tcW w:type="dxa" w:w="1587"/>
            <w:vAlign w:val="center"/>
          </w:tcPr>
          <w:p>
            <w:pPr>
              <w:keepNext w:val="0"/>
              <w:spacing w:line="252" w:lineRule="auto" w:after="20" w:before="20"/>
              <w:suppressLineNumbers/>
            </w:pPr>
            <w:r>
              <w:rPr>
                <w:rFonts w:ascii="Times New Roman" w:hAnsi="Times New Roman"/>
                <w:b w:val="0"/>
                <w:sz w:val="18"/>
              </w:rPr>
              <w:t>AVAglio</w:t>
            </w:r>
          </w:p>
        </w:tc>
        <w:tc>
          <w:tcPr>
            <w:tcW w:type="dxa" w:w="1020"/>
            <w:vAlign w:val="center"/>
          </w:tcPr>
          <w:p>
            <w:pPr>
              <w:keepNext w:val="0"/>
              <w:spacing w:line="252" w:lineRule="auto" w:after="20" w:before="20"/>
              <w:suppressLineNumbers/>
              <w:jc w:val="center"/>
            </w:pPr>
            <w:r>
              <w:rPr>
                <w:rFonts w:ascii="Times New Roman" w:hAnsi="Times New Roman"/>
                <w:b w:val="0"/>
                <w:sz w:val="18"/>
              </w:rPr>
              <w:t>349/270</w:t>
            </w:r>
          </w:p>
        </w:tc>
        <w:tc>
          <w:tcPr>
            <w:tcW w:type="dxa" w:w="680"/>
            <w:vAlign w:val="center"/>
          </w:tcPr>
          <w:p>
            <w:pPr>
              <w:keepNext w:val="0"/>
              <w:spacing w:line="252" w:lineRule="auto" w:after="20" w:before="20"/>
              <w:suppressLineNumbers/>
              <w:jc w:val="center"/>
            </w:pPr>
            <w:r>
              <w:rPr>
                <w:rFonts w:ascii="Times New Roman" w:hAnsi="Times New Roman"/>
                <w:b w:val="0"/>
                <w:sz w:val="18"/>
              </w:rPr>
              <w:t>HR</w:t>
            </w:r>
          </w:p>
        </w:tc>
        <w:tc>
          <w:tcPr>
            <w:tcW w:type="dxa" w:w="2438"/>
            <w:vAlign w:val="center"/>
          </w:tcPr>
          <w:p>
            <w:pPr>
              <w:keepNext w:val="0"/>
              <w:spacing w:line="252" w:lineRule="auto" w:after="20" w:before="20"/>
              <w:suppressLineNumbers/>
            </w:pPr>
            <w:r>
              <w:rPr>
                <w:rFonts w:ascii="Times New Roman" w:hAnsi="Times New Roman"/>
                <w:b w:val="0"/>
                <w:sz w:val="18"/>
              </w:rPr>
              <w:t>0.586 (0.346–0.992)</w:t>
            </w:r>
          </w:p>
        </w:tc>
        <w:tc>
          <w:tcPr>
            <w:tcW w:type="dxa" w:w="1077"/>
            <w:vAlign w:val="center"/>
          </w:tcPr>
          <w:p>
            <w:pPr>
              <w:keepNext w:val="0"/>
              <w:spacing w:line="252" w:lineRule="auto" w:after="20" w:before="20"/>
              <w:suppressLineNumbers/>
              <w:jc w:val="center"/>
            </w:pPr>
            <w:r>
              <w:rPr>
                <w:rFonts w:ascii="Times New Roman" w:hAnsi="Times New Roman"/>
                <w:b w:val="0"/>
                <w:sz w:val="18"/>
              </w:rPr>
              <w:t>0.04679</w:t>
            </w:r>
          </w:p>
        </w:tc>
        <w:tc>
          <w:tcPr>
            <w:tcW w:type="dxa" w:w="1757"/>
            <w:vAlign w:val="center"/>
          </w:tcPr>
          <w:p>
            <w:pPr>
              <w:keepNext w:val="0"/>
              <w:spacing w:line="252" w:lineRule="auto" w:after="20" w:before="20"/>
              <w:suppressLineNumbers/>
            </w:pPr>
            <w:r>
              <w:rPr>
                <w:rFonts w:ascii="Times New Roman" w:hAnsi="Times New Roman"/>
                <w:b w:val="0"/>
                <w:sz w:val="18"/>
              </w:rPr>
              <w:t>Historical AVA A0</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GBM_01</w:t>
            </w:r>
          </w:p>
        </w:tc>
        <w:tc>
          <w:tcPr>
            <w:tcW w:type="dxa" w:w="1587"/>
            <w:vAlign w:val="center"/>
          </w:tcPr>
          <w:p>
            <w:pPr>
              <w:keepNext w:val="0"/>
              <w:spacing w:line="252" w:lineRule="auto" w:after="20" w:before="20"/>
              <w:suppressLineNumbers/>
            </w:pPr>
            <w:r>
              <w:rPr>
                <w:rFonts w:ascii="Times New Roman" w:hAnsi="Times New Roman"/>
                <w:b w:val="0"/>
                <w:sz w:val="18"/>
              </w:rPr>
              <w:t>GLARIUS</w:t>
            </w:r>
          </w:p>
        </w:tc>
        <w:tc>
          <w:tcPr>
            <w:tcW w:type="dxa" w:w="1020"/>
            <w:vAlign w:val="center"/>
          </w:tcPr>
          <w:p>
            <w:pPr>
              <w:keepNext w:val="0"/>
              <w:spacing w:line="252" w:lineRule="auto" w:after="20" w:before="20"/>
              <w:suppressLineNumbers/>
              <w:jc w:val="center"/>
            </w:pPr>
            <w:r>
              <w:rPr>
                <w:rFonts w:ascii="Times New Roman" w:hAnsi="Times New Roman"/>
                <w:b w:val="0"/>
                <w:sz w:val="18"/>
              </w:rPr>
              <w:t>123/108</w:t>
            </w:r>
          </w:p>
        </w:tc>
        <w:tc>
          <w:tcPr>
            <w:tcW w:type="dxa" w:w="680"/>
            <w:vAlign w:val="center"/>
          </w:tcPr>
          <w:p>
            <w:pPr>
              <w:keepNext w:val="0"/>
              <w:spacing w:line="252" w:lineRule="auto" w:after="20" w:before="20"/>
              <w:suppressLineNumbers/>
              <w:jc w:val="center"/>
            </w:pPr>
            <w:r>
              <w:rPr>
                <w:rFonts w:ascii="Times New Roman" w:hAnsi="Times New Roman"/>
                <w:b w:val="0"/>
                <w:sz w:val="18"/>
              </w:rPr>
              <w:t>HR</w:t>
            </w:r>
          </w:p>
        </w:tc>
        <w:tc>
          <w:tcPr>
            <w:tcW w:type="dxa" w:w="2438"/>
            <w:vAlign w:val="center"/>
          </w:tcPr>
          <w:p>
            <w:pPr>
              <w:keepNext w:val="0"/>
              <w:spacing w:line="252" w:lineRule="auto" w:after="20" w:before="20"/>
              <w:suppressLineNumbers/>
            </w:pPr>
            <w:r>
              <w:rPr>
                <w:rFonts w:ascii="Times New Roman" w:hAnsi="Times New Roman"/>
                <w:b w:val="0"/>
                <w:sz w:val="18"/>
              </w:rPr>
              <w:t>0.629 (0.271–1.463)</w:t>
            </w:r>
          </w:p>
        </w:tc>
        <w:tc>
          <w:tcPr>
            <w:tcW w:type="dxa" w:w="1077"/>
            <w:vAlign w:val="center"/>
          </w:tcPr>
          <w:p>
            <w:pPr>
              <w:keepNext w:val="0"/>
              <w:spacing w:line="252" w:lineRule="auto" w:after="20" w:before="20"/>
              <w:suppressLineNumbers/>
              <w:jc w:val="center"/>
            </w:pPr>
            <w:r>
              <w:rPr>
                <w:rFonts w:ascii="Times New Roman" w:hAnsi="Times New Roman"/>
                <w:b w:val="0"/>
                <w:sz w:val="18"/>
              </w:rPr>
              <w:t>0.2821</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GBM_02</w:t>
            </w:r>
          </w:p>
        </w:tc>
        <w:tc>
          <w:tcPr>
            <w:tcW w:type="dxa" w:w="1587"/>
            <w:vAlign w:val="center"/>
          </w:tcPr>
          <w:p>
            <w:pPr>
              <w:keepNext w:val="0"/>
              <w:spacing w:line="252" w:lineRule="auto" w:after="20" w:before="20"/>
              <w:suppressLineNumbers/>
            </w:pPr>
            <w:r>
              <w:rPr>
                <w:rFonts w:ascii="Times New Roman" w:hAnsi="Times New Roman"/>
                <w:b w:val="0"/>
                <w:sz w:val="18"/>
              </w:rPr>
              <w:t>GLARIUS</w:t>
            </w:r>
          </w:p>
        </w:tc>
        <w:tc>
          <w:tcPr>
            <w:tcW w:type="dxa" w:w="1020"/>
            <w:vAlign w:val="center"/>
          </w:tcPr>
          <w:p>
            <w:pPr>
              <w:keepNext w:val="0"/>
              <w:spacing w:line="252" w:lineRule="auto" w:after="20" w:before="20"/>
              <w:suppressLineNumbers/>
              <w:jc w:val="center"/>
            </w:pPr>
            <w:r>
              <w:rPr>
                <w:rFonts w:ascii="Times New Roman" w:hAnsi="Times New Roman"/>
                <w:b w:val="0"/>
                <w:sz w:val="18"/>
              </w:rPr>
              <w:t>123/108</w:t>
            </w:r>
          </w:p>
        </w:tc>
        <w:tc>
          <w:tcPr>
            <w:tcW w:type="dxa" w:w="680"/>
            <w:vAlign w:val="center"/>
          </w:tcPr>
          <w:p>
            <w:pPr>
              <w:keepNext w:val="0"/>
              <w:spacing w:line="252" w:lineRule="auto" w:after="20" w:before="20"/>
              <w:suppressLineNumbers/>
              <w:jc w:val="center"/>
            </w:pPr>
            <w:r>
              <w:rPr>
                <w:rFonts w:ascii="Times New Roman" w:hAnsi="Times New Roman"/>
                <w:b w:val="0"/>
                <w:sz w:val="18"/>
              </w:rPr>
              <w:t>HR</w:t>
            </w:r>
          </w:p>
        </w:tc>
        <w:tc>
          <w:tcPr>
            <w:tcW w:type="dxa" w:w="2438"/>
            <w:vAlign w:val="center"/>
          </w:tcPr>
          <w:p>
            <w:pPr>
              <w:keepNext w:val="0"/>
              <w:spacing w:line="252" w:lineRule="auto" w:after="20" w:before="20"/>
              <w:suppressLineNumbers/>
            </w:pPr>
            <w:r>
              <w:rPr>
                <w:rFonts w:ascii="Times New Roman" w:hAnsi="Times New Roman"/>
                <w:b w:val="0"/>
                <w:sz w:val="18"/>
              </w:rPr>
              <w:t>0.918 (0.379–2.222)</w:t>
            </w:r>
          </w:p>
        </w:tc>
        <w:tc>
          <w:tcPr>
            <w:tcW w:type="dxa" w:w="1077"/>
            <w:vAlign w:val="center"/>
          </w:tcPr>
          <w:p>
            <w:pPr>
              <w:keepNext w:val="0"/>
              <w:spacing w:line="252" w:lineRule="auto" w:after="20" w:before="20"/>
              <w:suppressLineNumbers/>
              <w:jc w:val="center"/>
            </w:pPr>
            <w:r>
              <w:rPr>
                <w:rFonts w:ascii="Times New Roman" w:hAnsi="Times New Roman"/>
                <w:b w:val="0"/>
                <w:sz w:val="18"/>
              </w:rPr>
              <w:t>0.8494</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TNBC_01</w:t>
            </w:r>
          </w:p>
        </w:tc>
        <w:tc>
          <w:tcPr>
            <w:tcW w:type="dxa" w:w="1587"/>
            <w:vAlign w:val="center"/>
          </w:tcPr>
          <w:p>
            <w:pPr>
              <w:keepNext w:val="0"/>
              <w:spacing w:line="252" w:lineRule="auto" w:after="20" w:before="20"/>
              <w:suppressLineNumbers/>
            </w:pPr>
            <w:r>
              <w:rPr>
                <w:rFonts w:ascii="Times New Roman" w:hAnsi="Times New Roman"/>
                <w:b w:val="0"/>
                <w:sz w:val="18"/>
              </w:rPr>
              <w:t>BrighTNess</w:t>
            </w:r>
          </w:p>
        </w:tc>
        <w:tc>
          <w:tcPr>
            <w:tcW w:type="dxa" w:w="1020"/>
            <w:vAlign w:val="center"/>
          </w:tcPr>
          <w:p>
            <w:pPr>
              <w:keepNext w:val="0"/>
              <w:spacing w:line="252" w:lineRule="auto" w:after="20" w:before="20"/>
              <w:suppressLineNumbers/>
              <w:jc w:val="center"/>
            </w:pPr>
            <w:r>
              <w:rPr>
                <w:rFonts w:ascii="Times New Roman" w:hAnsi="Times New Roman"/>
                <w:b w:val="0"/>
                <w:sz w:val="18"/>
              </w:rPr>
              <w:t>245/109</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1.086 (0.636–1.855)</w:t>
            </w:r>
          </w:p>
        </w:tc>
        <w:tc>
          <w:tcPr>
            <w:tcW w:type="dxa" w:w="1077"/>
            <w:vAlign w:val="center"/>
          </w:tcPr>
          <w:p>
            <w:pPr>
              <w:keepNext w:val="0"/>
              <w:spacing w:line="252" w:lineRule="auto" w:after="20" w:before="20"/>
              <w:suppressLineNumbers/>
              <w:jc w:val="center"/>
            </w:pPr>
            <w:r>
              <w:rPr>
                <w:rFonts w:ascii="Times New Roman" w:hAnsi="Times New Roman"/>
                <w:b w:val="0"/>
                <w:sz w:val="18"/>
              </w:rPr>
              <w:t>0.7616</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TNBC_04</w:t>
            </w:r>
          </w:p>
        </w:tc>
        <w:tc>
          <w:tcPr>
            <w:tcW w:type="dxa" w:w="1587"/>
            <w:vAlign w:val="center"/>
          </w:tcPr>
          <w:p>
            <w:pPr>
              <w:keepNext w:val="0"/>
              <w:spacing w:line="252" w:lineRule="auto" w:after="20" w:before="20"/>
              <w:suppressLineNumbers/>
            </w:pPr>
            <w:r>
              <w:rPr>
                <w:rFonts w:ascii="Times New Roman" w:hAnsi="Times New Roman"/>
                <w:b w:val="0"/>
                <w:sz w:val="18"/>
              </w:rPr>
              <w:t>BrighTNess</w:t>
            </w:r>
          </w:p>
        </w:tc>
        <w:tc>
          <w:tcPr>
            <w:tcW w:type="dxa" w:w="1020"/>
            <w:vAlign w:val="center"/>
          </w:tcPr>
          <w:p>
            <w:pPr>
              <w:keepNext w:val="0"/>
              <w:spacing w:line="252" w:lineRule="auto" w:after="20" w:before="20"/>
              <w:suppressLineNumbers/>
              <w:jc w:val="center"/>
            </w:pPr>
            <w:r>
              <w:rPr>
                <w:rFonts w:ascii="Times New Roman" w:hAnsi="Times New Roman"/>
                <w:b w:val="0"/>
                <w:sz w:val="18"/>
              </w:rPr>
              <w:t>360/167</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1.096 (0.673–1.784)</w:t>
            </w:r>
          </w:p>
        </w:tc>
        <w:tc>
          <w:tcPr>
            <w:tcW w:type="dxa" w:w="1077"/>
            <w:vAlign w:val="center"/>
          </w:tcPr>
          <w:p>
            <w:pPr>
              <w:keepNext w:val="0"/>
              <w:spacing w:line="252" w:lineRule="auto" w:after="20" w:before="20"/>
              <w:suppressLineNumbers/>
              <w:jc w:val="center"/>
            </w:pPr>
            <w:r>
              <w:rPr>
                <w:rFonts w:ascii="Times New Roman" w:hAnsi="Times New Roman"/>
                <w:b w:val="0"/>
                <w:sz w:val="18"/>
              </w:rPr>
              <w:t>0.7127</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TNBC_03</w:t>
            </w:r>
          </w:p>
        </w:tc>
        <w:tc>
          <w:tcPr>
            <w:tcW w:type="dxa" w:w="1587"/>
            <w:vAlign w:val="center"/>
          </w:tcPr>
          <w:p>
            <w:pPr>
              <w:keepNext w:val="0"/>
              <w:spacing w:line="252" w:lineRule="auto" w:after="20" w:before="20"/>
              <w:suppressLineNumbers/>
            </w:pPr>
            <w:r>
              <w:rPr>
                <w:rFonts w:ascii="Times New Roman" w:hAnsi="Times New Roman"/>
                <w:b w:val="0"/>
                <w:sz w:val="18"/>
              </w:rPr>
              <w:t>I-SPY2 DOP / GSE173839</w:t>
            </w:r>
          </w:p>
        </w:tc>
        <w:tc>
          <w:tcPr>
            <w:tcW w:type="dxa" w:w="1020"/>
            <w:vAlign w:val="center"/>
          </w:tcPr>
          <w:p>
            <w:pPr>
              <w:keepNext w:val="0"/>
              <w:spacing w:line="252" w:lineRule="auto" w:after="20" w:before="20"/>
              <w:suppressLineNumbers/>
              <w:jc w:val="center"/>
            </w:pPr>
            <w:r>
              <w:rPr>
                <w:rFonts w:ascii="Times New Roman" w:hAnsi="Times New Roman"/>
                <w:b w:val="0"/>
                <w:sz w:val="18"/>
              </w:rPr>
              <w:t>100/36</w:t>
            </w:r>
          </w:p>
        </w:tc>
        <w:tc>
          <w:tcPr>
            <w:tcW w:type="dxa" w:w="680"/>
            <w:vAlign w:val="center"/>
          </w:tcPr>
          <w:p>
            <w:pPr>
              <w:keepNext w:val="0"/>
              <w:spacing w:line="252" w:lineRule="auto" w:after="20" w:before="20"/>
              <w:suppressLineNumbers/>
              <w:jc w:val="center"/>
            </w:pPr>
            <w:r>
              <w:rPr>
                <w:rFonts w:ascii="Times New Roman" w:hAnsi="Times New Roman"/>
                <w:b w:val="0"/>
                <w:sz w:val="18"/>
              </w:rPr>
              <w:t>OR</w:t>
            </w:r>
          </w:p>
        </w:tc>
        <w:tc>
          <w:tcPr>
            <w:tcW w:type="dxa" w:w="2438"/>
            <w:vAlign w:val="center"/>
          </w:tcPr>
          <w:p>
            <w:pPr>
              <w:keepNext w:val="0"/>
              <w:spacing w:line="252" w:lineRule="auto" w:after="20" w:before="20"/>
              <w:suppressLineNumbers/>
            </w:pPr>
            <w:r>
              <w:rPr>
                <w:rFonts w:ascii="Times New Roman" w:hAnsi="Times New Roman"/>
                <w:b w:val="0"/>
                <w:sz w:val="18"/>
              </w:rPr>
              <w:t>1.480 (0.553–3.956)</w:t>
            </w:r>
          </w:p>
        </w:tc>
        <w:tc>
          <w:tcPr>
            <w:tcW w:type="dxa" w:w="1077"/>
            <w:vAlign w:val="center"/>
          </w:tcPr>
          <w:p>
            <w:pPr>
              <w:keepNext w:val="0"/>
              <w:spacing w:line="252" w:lineRule="auto" w:after="20" w:before="20"/>
              <w:suppressLineNumbers/>
              <w:jc w:val="center"/>
            </w:pPr>
            <w:r>
              <w:rPr>
                <w:rFonts w:ascii="Times New Roman" w:hAnsi="Times New Roman"/>
                <w:b w:val="0"/>
                <w:sz w:val="18"/>
              </w:rPr>
              <w:t>0.4348</w:t>
            </w:r>
          </w:p>
        </w:tc>
        <w:tc>
          <w:tcPr>
            <w:tcW w:type="dxa" w:w="1757"/>
            <w:vAlign w:val="center"/>
          </w:tcPr>
          <w:p>
            <w:pPr>
              <w:keepNext w:val="0"/>
              <w:spacing w:line="252" w:lineRule="auto" w:after="20" w:before="20"/>
              <w:suppressLineNumbers/>
            </w:pPr>
            <w:r>
              <w:rPr>
                <w:rFonts w:ascii="Times New Roman" w:hAnsi="Times New Roman"/>
                <w:b w:val="0"/>
                <w:sz w:val="18"/>
              </w:rPr>
              <w:t>Trial-specific</w:t>
            </w:r>
          </w:p>
        </w:tc>
      </w:tr>
    </w:tbl>
    <w:p>
      <w:pPr>
        <w:spacing w:after="40" w:line="240" w:lineRule="auto"/>
      </w:pPr>
    </w:p>
    <w:p>
      <w:pPr>
        <w:keepLines/>
        <w:spacing w:line="264" w:lineRule="auto" w:after="140"/>
      </w:pPr>
      <w:r>
        <w:rPr>
          <w:rFonts w:ascii="Times New Roman" w:hAnsi="Times New Roman"/>
          <w:b w:val="0"/>
          <w:sz w:val="20"/>
        </w:rPr>
        <w:t>Twenty-three rows are logistic ORs; four are Cox HRs. Ratios are not pooled. All original fields, including q values, evidence labels and source-stage records, are retained without alteration in Additional file 4A. Historical labels do not certify current strict replication. Treatment direction, scoring coverage and standardization are linked by object and trial in Table S4. Historical AVAglio A0 is distinct from the A2/A3 shared-set comparison in Table 2.</w:t>
      </w:r>
    </w:p>
    <w:p>
      <w:pPr>
        <w:pStyle w:val="Caption"/>
        <w:keepNext/>
        <w:suppressLineNumbers/>
      </w:pPr>
      <w:r>
        <w:rPr>
          <w:rFonts w:ascii="Times New Roman" w:hAnsi="Times New Roman"/>
          <w:b/>
          <w:sz w:val="20"/>
        </w:rPr>
        <w:t>Supplementary Table S2 | Thirteen dependent historical cross-trial units and current eligibility.</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077"/>
        <w:gridCol w:w="2381"/>
        <w:gridCol w:w="1587"/>
        <w:gridCol w:w="1247"/>
        <w:gridCol w:w="3345"/>
      </w:tblGrid>
      <w:tr>
        <w:trPr>
          <w:tblHeader/>
          <w:cantSplit/>
        </w:trPr>
        <w:tc>
          <w:tcPr>
            <w:tcW w:type="dxa" w:w="1077"/>
            <w:vAlign w:val="center"/>
            <w:shd w:fill="EAF0F4" w:val="clear"/>
          </w:tcPr>
          <w:p>
            <w:pPr>
              <w:keepNext/>
              <w:spacing w:line="252" w:lineRule="auto" w:after="20" w:before="20"/>
              <w:suppressLineNumbers/>
            </w:pPr>
            <w:r>
              <w:rPr>
                <w:rFonts w:ascii="Times New Roman" w:hAnsi="Times New Roman"/>
                <w:b/>
                <w:sz w:val="18"/>
              </w:rPr>
              <w:t>Object</w:t>
            </w:r>
          </w:p>
        </w:tc>
        <w:tc>
          <w:tcPr>
            <w:tcW w:type="dxa" w:w="2381"/>
            <w:vAlign w:val="center"/>
            <w:shd w:fill="EAF0F4" w:val="clear"/>
          </w:tcPr>
          <w:p>
            <w:pPr>
              <w:keepNext/>
              <w:spacing w:line="252" w:lineRule="auto" w:after="20" w:before="20"/>
              <w:suppressLineNumbers/>
            </w:pPr>
            <w:r>
              <w:rPr>
                <w:rFonts w:ascii="Times New Roman" w:hAnsi="Times New Roman"/>
                <w:b/>
                <w:sz w:val="18"/>
              </w:rPr>
              <w:t>Dependency cluster</w:t>
            </w:r>
          </w:p>
        </w:tc>
        <w:tc>
          <w:tcPr>
            <w:tcW w:type="dxa" w:w="1587"/>
            <w:vAlign w:val="center"/>
            <w:shd w:fill="EAF0F4" w:val="clear"/>
          </w:tcPr>
          <w:p>
            <w:pPr>
              <w:keepNext/>
              <w:spacing w:line="252" w:lineRule="auto" w:after="20" w:before="20"/>
              <w:suppressLineNumbers/>
            </w:pPr>
            <w:r>
              <w:rPr>
                <w:rFonts w:ascii="Times New Roman" w:hAnsi="Times New Roman"/>
                <w:b/>
                <w:sz w:val="18"/>
              </w:rPr>
              <w:t>Historical replay</w:t>
            </w:r>
          </w:p>
        </w:tc>
        <w:tc>
          <w:tcPr>
            <w:tcW w:type="dxa" w:w="1247"/>
            <w:vAlign w:val="center"/>
            <w:shd w:fill="EAF0F4" w:val="clear"/>
          </w:tcPr>
          <w:p>
            <w:pPr>
              <w:keepNext/>
              <w:spacing w:line="252" w:lineRule="auto" w:after="20" w:before="20"/>
              <w:suppressLineNumbers/>
            </w:pPr>
            <w:r>
              <w:rPr>
                <w:rFonts w:ascii="Times New Roman" w:hAnsi="Times New Roman"/>
                <w:b/>
                <w:sz w:val="18"/>
              </w:rPr>
              <w:t>Current strict member</w:t>
            </w:r>
          </w:p>
        </w:tc>
        <w:tc>
          <w:tcPr>
            <w:tcW w:type="dxa" w:w="3345"/>
            <w:vAlign w:val="center"/>
            <w:shd w:fill="EAF0F4" w:val="clear"/>
          </w:tcPr>
          <w:p>
            <w:pPr>
              <w:keepNext/>
              <w:spacing w:line="252" w:lineRule="auto" w:after="20" w:before="20"/>
              <w:suppressLineNumbers/>
            </w:pPr>
            <w:r>
              <w:rPr>
                <w:rFonts w:ascii="Times New Roman" w:hAnsi="Times New Roman"/>
                <w:b/>
                <w:sz w:val="18"/>
              </w:rPr>
              <w:t>Current classification</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GBM_01</w:t>
            </w:r>
          </w:p>
        </w:tc>
        <w:tc>
          <w:tcPr>
            <w:tcW w:type="dxa" w:w="2381"/>
            <w:vAlign w:val="center"/>
          </w:tcPr>
          <w:p>
            <w:pPr>
              <w:keepNext w:val="0"/>
              <w:spacing w:line="252" w:lineRule="auto" w:after="20" w:before="20"/>
              <w:suppressLineNumbers/>
            </w:pPr>
            <w:r>
              <w:rPr>
                <w:rFonts w:ascii="Times New Roman" w:hAnsi="Times New Roman"/>
                <w:b w:val="0"/>
                <w:sz w:val="18"/>
              </w:rPr>
              <w:t>GBM_AVAGLIO_GLARIUS</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MEDIUM TRANSPORTABILITY  NOT STRICT EXACT REPLICATION</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GBM_02</w:t>
            </w:r>
          </w:p>
        </w:tc>
        <w:tc>
          <w:tcPr>
            <w:tcW w:type="dxa" w:w="2381"/>
            <w:vAlign w:val="center"/>
          </w:tcPr>
          <w:p>
            <w:pPr>
              <w:keepNext w:val="0"/>
              <w:spacing w:line="252" w:lineRule="auto" w:after="20" w:before="20"/>
              <w:suppressLineNumbers/>
            </w:pPr>
            <w:r>
              <w:rPr>
                <w:rFonts w:ascii="Times New Roman" w:hAnsi="Times New Roman"/>
                <w:b w:val="0"/>
                <w:sz w:val="18"/>
              </w:rPr>
              <w:t>GBM_AVAGLIO_GLARIUS</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MEDIUM TRANSPORTABILITY  NOT STRICT EXACT REPLICATION</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HER2_01</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HER2_02</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HER2_03</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HER2_04</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HER2_05</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HER2_06</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HER2_07</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HER2_08</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HER2_09</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HER2_10</w:t>
            </w:r>
          </w:p>
        </w:tc>
        <w:tc>
          <w:tcPr>
            <w:tcW w:type="dxa" w:w="2381"/>
            <w:vAlign w:val="center"/>
          </w:tcPr>
          <w:p>
            <w:pPr>
              <w:keepNext w:val="0"/>
              <w:spacing w:line="252" w:lineRule="auto" w:after="20" w:before="20"/>
              <w:suppressLineNumbers/>
            </w:pPr>
            <w:r>
              <w:rPr>
                <w:rFonts w:ascii="Times New Roman" w:hAnsi="Times New Roman"/>
                <w:b w:val="0"/>
                <w:sz w:val="18"/>
              </w:rPr>
              <w:t>HER2_TRIO_B07_</w:t>
              <w:br/>
              <w:t>CHER_LOB</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PAIR POPULATION UNVERIFIED  DESCRIPTIVE ONLY</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TNBC_01</w:t>
            </w:r>
          </w:p>
        </w:tc>
        <w:tc>
          <w:tcPr>
            <w:tcW w:type="dxa" w:w="2381"/>
            <w:vAlign w:val="center"/>
          </w:tcPr>
          <w:p>
            <w:pPr>
              <w:keepNext w:val="0"/>
              <w:spacing w:line="252" w:lineRule="auto" w:after="20" w:before="20"/>
              <w:suppressLineNumbers/>
            </w:pPr>
            <w:r>
              <w:rPr>
                <w:rFonts w:ascii="Times New Roman" w:hAnsi="Times New Roman"/>
                <w:b w:val="0"/>
                <w:sz w:val="18"/>
              </w:rPr>
              <w:t>TNBC_CALGB40603_</w:t>
              <w:br/>
              <w:t>BRIGHTNESS</w:t>
            </w:r>
          </w:p>
        </w:tc>
        <w:tc>
          <w:tcPr>
            <w:tcW w:type="dxa" w:w="1587"/>
            <w:vAlign w:val="center"/>
          </w:tcPr>
          <w:p>
            <w:pPr>
              <w:keepNext w:val="0"/>
              <w:spacing w:line="252" w:lineRule="auto" w:after="20" w:before="20"/>
              <w:suppressLineNumbers/>
            </w:pPr>
            <w:r>
              <w:rPr>
                <w:rFonts w:ascii="Times New Roman" w:hAnsi="Times New Roman"/>
                <w:b w:val="0"/>
                <w:sz w:val="18"/>
              </w:rPr>
              <w:t>NON_POSITIVE</w:t>
            </w:r>
          </w:p>
        </w:tc>
        <w:tc>
          <w:tcPr>
            <w:tcW w:type="dxa" w:w="1247"/>
            <w:vAlign w:val="center"/>
          </w:tcPr>
          <w:p>
            <w:pPr>
              <w:keepNext w:val="0"/>
              <w:spacing w:line="252" w:lineRule="auto" w:after="20" w:before="20"/>
              <w:suppressLineNumbers/>
              <w:jc w:val="center"/>
            </w:pPr>
            <w:r>
              <w:rPr>
                <w:rFonts w:ascii="Times New Roman" w:hAnsi="Times New Roman"/>
                <w:b w:val="0"/>
                <w:sz w:val="18"/>
              </w:rPr>
              <w:t>FALSE</w:t>
            </w:r>
          </w:p>
        </w:tc>
        <w:tc>
          <w:tcPr>
            <w:tcW w:type="dxa" w:w="3345"/>
            <w:vAlign w:val="center"/>
          </w:tcPr>
          <w:p>
            <w:pPr>
              <w:keepNext w:val="0"/>
              <w:spacing w:line="252" w:lineRule="auto" w:after="20" w:before="20"/>
              <w:suppressLineNumbers/>
            </w:pPr>
            <w:r>
              <w:rPr>
                <w:rFonts w:ascii="Times New Roman" w:hAnsi="Times New Roman"/>
                <w:b w:val="0"/>
                <w:sz w:val="18"/>
              </w:rPr>
              <w:t>NEGATIVE LABEL ONLY REPLAY  FULL POSITIVE PATH UNRECOVERABLE</w:t>
            </w:r>
          </w:p>
        </w:tc>
      </w:tr>
    </w:tbl>
    <w:p>
      <w:pPr>
        <w:spacing w:after="40" w:line="240" w:lineRule="auto"/>
      </w:pPr>
    </w:p>
    <w:p>
      <w:pPr>
        <w:keepLines/>
        <w:spacing w:line="264" w:lineRule="auto" w:after="140"/>
      </w:pPr>
      <w:r>
        <w:rPr>
          <w:rFonts w:ascii="Times New Roman" w:hAnsi="Times New Roman"/>
          <w:b w:val="0"/>
          <w:sz w:val="20"/>
        </w:rPr>
        <w:t>There are three shared-resource clusters, not 13 independent studies. No unit meets every current prerequisite. The current strict replication proportion is NOT_ESTIMABLE rather than 0/13, 0/0 or 0%. Full historical labels, eligibility reasons and unchanged interpretation fields are retained in Additional file 4B.</w:t>
      </w:r>
    </w:p>
    <w:p>
      <w:pPr>
        <w:pStyle w:val="Caption"/>
        <w:keepNext/>
        <w:suppressLineNumbers/>
      </w:pPr>
      <w:r>
        <w:rPr>
          <w:rFonts w:ascii="Times New Roman" w:hAnsi="Times New Roman"/>
          <w:b/>
          <w:sz w:val="20"/>
        </w:rPr>
        <w:t>Supplementary Table S3 | All 23 historical absolute-effect sensitivities with statistical qualifications.</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077"/>
        <w:gridCol w:w="1474"/>
        <w:gridCol w:w="2381"/>
        <w:gridCol w:w="1134"/>
        <w:gridCol w:w="1134"/>
        <w:gridCol w:w="1191"/>
        <w:gridCol w:w="1247"/>
      </w:tblGrid>
      <w:tr>
        <w:trPr>
          <w:tblHeader/>
          <w:cantSplit/>
        </w:trPr>
        <w:tc>
          <w:tcPr>
            <w:tcW w:type="dxa" w:w="1077"/>
            <w:vAlign w:val="center"/>
            <w:shd w:fill="EAF0F4" w:val="clear"/>
          </w:tcPr>
          <w:p>
            <w:pPr>
              <w:keepNext/>
              <w:spacing w:line="252" w:lineRule="auto" w:after="20" w:before="20"/>
              <w:suppressLineNumbers/>
            </w:pPr>
            <w:r>
              <w:rPr>
                <w:rFonts w:ascii="Times New Roman" w:hAnsi="Times New Roman"/>
                <w:b/>
                <w:sz w:val="18"/>
              </w:rPr>
              <w:t>Object</w:t>
            </w:r>
          </w:p>
        </w:tc>
        <w:tc>
          <w:tcPr>
            <w:tcW w:type="dxa" w:w="1474"/>
            <w:vAlign w:val="center"/>
            <w:shd w:fill="EAF0F4" w:val="clear"/>
          </w:tcPr>
          <w:p>
            <w:pPr>
              <w:keepNext/>
              <w:spacing w:line="252" w:lineRule="auto" w:after="20" w:before="20"/>
              <w:suppressLineNumbers/>
            </w:pPr>
            <w:r>
              <w:rPr>
                <w:rFonts w:ascii="Times New Roman" w:hAnsi="Times New Roman"/>
                <w:b/>
                <w:sz w:val="18"/>
              </w:rPr>
              <w:t>Trial</w:t>
            </w:r>
          </w:p>
        </w:tc>
        <w:tc>
          <w:tcPr>
            <w:tcW w:type="dxa" w:w="2381"/>
            <w:vAlign w:val="center"/>
            <w:shd w:fill="EAF0F4" w:val="clear"/>
          </w:tcPr>
          <w:p>
            <w:pPr>
              <w:keepNext/>
              <w:spacing w:line="252" w:lineRule="auto" w:after="20" w:before="20"/>
              <w:suppressLineNumbers/>
            </w:pPr>
            <w:r>
              <w:rPr>
                <w:rFonts w:ascii="Times New Roman" w:hAnsi="Times New Roman"/>
                <w:b/>
                <w:sz w:val="18"/>
              </w:rPr>
              <w:t>ΔRD (percentile interval)</w:t>
            </w:r>
          </w:p>
        </w:tc>
        <w:tc>
          <w:tcPr>
            <w:tcW w:type="dxa" w:w="1134"/>
            <w:vAlign w:val="center"/>
            <w:shd w:fill="EAF0F4" w:val="clear"/>
          </w:tcPr>
          <w:p>
            <w:pPr>
              <w:keepNext/>
              <w:spacing w:line="252" w:lineRule="auto" w:after="20" w:before="20"/>
              <w:suppressLineNumbers/>
            </w:pPr>
            <w:r>
              <w:rPr>
                <w:rFonts w:ascii="Times New Roman" w:hAnsi="Times New Roman"/>
                <w:b/>
                <w:sz w:val="18"/>
              </w:rPr>
              <w:t>Historical sign-tail</w:t>
            </w:r>
          </w:p>
        </w:tc>
        <w:tc>
          <w:tcPr>
            <w:tcW w:type="dxa" w:w="1134"/>
            <w:vAlign w:val="center"/>
            <w:shd w:fill="EAF0F4" w:val="clear"/>
          </w:tcPr>
          <w:p>
            <w:pPr>
              <w:keepNext/>
              <w:spacing w:line="252" w:lineRule="auto" w:after="20" w:before="20"/>
              <w:suppressLineNumbers/>
            </w:pPr>
            <w:r>
              <w:rPr>
                <w:rFonts w:ascii="Times New Roman" w:hAnsi="Times New Roman"/>
                <w:b/>
                <w:sz w:val="18"/>
              </w:rPr>
              <w:t>Historical BH-h</w:t>
            </w:r>
          </w:p>
        </w:tc>
        <w:tc>
          <w:tcPr>
            <w:tcW w:type="dxa" w:w="1191"/>
            <w:vAlign w:val="center"/>
            <w:shd w:fill="EAF0F4" w:val="clear"/>
          </w:tcPr>
          <w:p>
            <w:pPr>
              <w:keepNext/>
              <w:spacing w:line="252" w:lineRule="auto" w:after="20" w:before="20"/>
              <w:suppressLineNumbers/>
            </w:pPr>
            <w:r>
              <w:rPr>
                <w:rFonts w:ascii="Times New Roman" w:hAnsi="Times New Roman"/>
                <w:b/>
                <w:sz w:val="18"/>
              </w:rPr>
              <w:t>Valid/</w:t>
              <w:br/>
              <w:t>requested</w:t>
            </w:r>
          </w:p>
        </w:tc>
        <w:tc>
          <w:tcPr>
            <w:tcW w:type="dxa" w:w="1247"/>
            <w:vAlign w:val="center"/>
            <w:shd w:fill="EAF0F4" w:val="clear"/>
          </w:tcPr>
          <w:p>
            <w:pPr>
              <w:keepNext/>
              <w:spacing w:line="252" w:lineRule="auto" w:after="20" w:before="20"/>
              <w:suppressLineNumbers/>
            </w:pPr>
            <w:r>
              <w:rPr>
                <w:rFonts w:ascii="Times New Roman" w:hAnsi="Times New Roman"/>
                <w:b/>
                <w:sz w:val="18"/>
              </w:rPr>
              <w:t>Technical status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HER2_01</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0.195 (−0.129, 0.555)</w:t>
            </w:r>
          </w:p>
        </w:tc>
        <w:tc>
          <w:tcPr>
            <w:tcW w:type="dxa" w:w="1134"/>
            <w:vAlign w:val="center"/>
          </w:tcPr>
          <w:p>
            <w:pPr>
              <w:keepNext w:val="0"/>
              <w:spacing w:line="252" w:lineRule="auto" w:after="20" w:before="20"/>
              <w:suppressLineNumbers/>
              <w:jc w:val="center"/>
            </w:pPr>
            <w:r>
              <w:rPr>
                <w:rFonts w:ascii="Times New Roman" w:hAnsi="Times New Roman"/>
                <w:b w:val="0"/>
                <w:sz w:val="18"/>
              </w:rPr>
              <w:t>0.214</w:t>
            </w:r>
          </w:p>
        </w:tc>
        <w:tc>
          <w:tcPr>
            <w:tcW w:type="dxa" w:w="1134"/>
            <w:vAlign w:val="center"/>
          </w:tcPr>
          <w:p>
            <w:pPr>
              <w:keepNext w:val="0"/>
              <w:spacing w:line="252" w:lineRule="auto" w:after="20" w:before="20"/>
              <w:suppressLineNumbers/>
              <w:jc w:val="center"/>
            </w:pPr>
            <w:r>
              <w:rPr>
                <w:rFonts w:ascii="Times New Roman" w:hAnsi="Times New Roman"/>
                <w:b w:val="0"/>
                <w:sz w:val="18"/>
              </w:rPr>
              <w:t>0.4279</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HER2_02</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0.059 (−0.287, 0.334)</w:t>
            </w:r>
          </w:p>
        </w:tc>
        <w:tc>
          <w:tcPr>
            <w:tcW w:type="dxa" w:w="1134"/>
            <w:vAlign w:val="center"/>
          </w:tcPr>
          <w:p>
            <w:pPr>
              <w:keepNext w:val="0"/>
              <w:spacing w:line="252" w:lineRule="auto" w:after="20" w:before="20"/>
              <w:suppressLineNumbers/>
              <w:jc w:val="center"/>
            </w:pPr>
            <w:r>
              <w:rPr>
                <w:rFonts w:ascii="Times New Roman" w:hAnsi="Times New Roman"/>
                <w:b w:val="0"/>
                <w:sz w:val="18"/>
              </w:rPr>
              <w:t>0.7091</w:t>
            </w:r>
          </w:p>
        </w:tc>
        <w:tc>
          <w:tcPr>
            <w:tcW w:type="dxa" w:w="1134"/>
            <w:vAlign w:val="center"/>
          </w:tcPr>
          <w:p>
            <w:pPr>
              <w:keepNext w:val="0"/>
              <w:spacing w:line="252" w:lineRule="auto" w:after="20" w:before="20"/>
              <w:suppressLineNumbers/>
              <w:jc w:val="center"/>
            </w:pPr>
            <w:r>
              <w:rPr>
                <w:rFonts w:ascii="Times New Roman" w:hAnsi="Times New Roman"/>
                <w:b w:val="0"/>
                <w:sz w:val="18"/>
              </w:rPr>
              <w:t>0.8863</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HER2_03</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0.282 (−0.157, 0.698)</w:t>
            </w:r>
          </w:p>
        </w:tc>
        <w:tc>
          <w:tcPr>
            <w:tcW w:type="dxa" w:w="1134"/>
            <w:vAlign w:val="center"/>
          </w:tcPr>
          <w:p>
            <w:pPr>
              <w:keepNext w:val="0"/>
              <w:spacing w:line="252" w:lineRule="auto" w:after="20" w:before="20"/>
              <w:suppressLineNumbers/>
              <w:jc w:val="center"/>
            </w:pPr>
            <w:r>
              <w:rPr>
                <w:rFonts w:ascii="Times New Roman" w:hAnsi="Times New Roman"/>
                <w:b w:val="0"/>
                <w:sz w:val="18"/>
              </w:rPr>
              <w:t>0.2044</w:t>
            </w:r>
          </w:p>
        </w:tc>
        <w:tc>
          <w:tcPr>
            <w:tcW w:type="dxa" w:w="1134"/>
            <w:vAlign w:val="center"/>
          </w:tcPr>
          <w:p>
            <w:pPr>
              <w:keepNext w:val="0"/>
              <w:spacing w:line="252" w:lineRule="auto" w:after="20" w:before="20"/>
              <w:suppressLineNumbers/>
              <w:jc w:val="center"/>
            </w:pPr>
            <w:r>
              <w:rPr>
                <w:rFonts w:ascii="Times New Roman" w:hAnsi="Times New Roman"/>
                <w:b w:val="0"/>
                <w:sz w:val="18"/>
              </w:rPr>
              <w:t>0.4279</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HER2_04</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−0.022 (−0.462, 0.389)</w:t>
            </w:r>
          </w:p>
        </w:tc>
        <w:tc>
          <w:tcPr>
            <w:tcW w:type="dxa" w:w="1134"/>
            <w:vAlign w:val="center"/>
          </w:tcPr>
          <w:p>
            <w:pPr>
              <w:keepNext w:val="0"/>
              <w:spacing w:line="252" w:lineRule="auto" w:after="20" w:before="20"/>
              <w:suppressLineNumbers/>
              <w:jc w:val="center"/>
            </w:pPr>
            <w:r>
              <w:rPr>
                <w:rFonts w:ascii="Times New Roman" w:hAnsi="Times New Roman"/>
                <w:b w:val="0"/>
                <w:sz w:val="18"/>
              </w:rPr>
              <w:t>0.9102</w:t>
            </w:r>
          </w:p>
        </w:tc>
        <w:tc>
          <w:tcPr>
            <w:tcW w:type="dxa" w:w="1134"/>
            <w:vAlign w:val="center"/>
          </w:tcPr>
          <w:p>
            <w:pPr>
              <w:keepNext w:val="0"/>
              <w:spacing w:line="252" w:lineRule="auto" w:after="20" w:before="20"/>
              <w:suppressLineNumbers/>
              <w:jc w:val="center"/>
            </w:pPr>
            <w:r>
              <w:rPr>
                <w:rFonts w:ascii="Times New Roman" w:hAnsi="Times New Roman"/>
                <w:b w:val="0"/>
                <w:sz w:val="18"/>
              </w:rPr>
              <w:t>0.9102</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HER2_05</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−0.121 (−0.587, 0.289)</w:t>
            </w:r>
          </w:p>
        </w:tc>
        <w:tc>
          <w:tcPr>
            <w:tcW w:type="dxa" w:w="1134"/>
            <w:vAlign w:val="center"/>
          </w:tcPr>
          <w:p>
            <w:pPr>
              <w:keepNext w:val="0"/>
              <w:spacing w:line="252" w:lineRule="auto" w:after="20" w:before="20"/>
              <w:suppressLineNumbers/>
              <w:jc w:val="center"/>
            </w:pPr>
            <w:r>
              <w:rPr>
                <w:rFonts w:ascii="Times New Roman" w:hAnsi="Times New Roman"/>
                <w:b w:val="0"/>
                <w:sz w:val="18"/>
              </w:rPr>
              <w:t>0.5515</w:t>
            </w:r>
          </w:p>
        </w:tc>
        <w:tc>
          <w:tcPr>
            <w:tcW w:type="dxa" w:w="1134"/>
            <w:vAlign w:val="center"/>
          </w:tcPr>
          <w:p>
            <w:pPr>
              <w:keepNext w:val="0"/>
              <w:spacing w:line="252" w:lineRule="auto" w:after="20" w:before="20"/>
              <w:suppressLineNumbers/>
              <w:jc w:val="center"/>
            </w:pPr>
            <w:r>
              <w:rPr>
                <w:rFonts w:ascii="Times New Roman" w:hAnsi="Times New Roman"/>
                <w:b w:val="0"/>
                <w:sz w:val="18"/>
              </w:rPr>
              <w:t>0.7878</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HER2_06</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−0.278 (−0.702, 0.146)</w:t>
            </w:r>
          </w:p>
        </w:tc>
        <w:tc>
          <w:tcPr>
            <w:tcW w:type="dxa" w:w="1134"/>
            <w:vAlign w:val="center"/>
          </w:tcPr>
          <w:p>
            <w:pPr>
              <w:keepNext w:val="0"/>
              <w:spacing w:line="252" w:lineRule="auto" w:after="20" w:before="20"/>
              <w:suppressLineNumbers/>
              <w:jc w:val="center"/>
            </w:pPr>
            <w:r>
              <w:rPr>
                <w:rFonts w:ascii="Times New Roman" w:hAnsi="Times New Roman"/>
                <w:b w:val="0"/>
                <w:sz w:val="18"/>
              </w:rPr>
              <w:t>0.1988</w:t>
            </w:r>
          </w:p>
        </w:tc>
        <w:tc>
          <w:tcPr>
            <w:tcW w:type="dxa" w:w="1134"/>
            <w:vAlign w:val="center"/>
          </w:tcPr>
          <w:p>
            <w:pPr>
              <w:keepNext w:val="0"/>
              <w:spacing w:line="252" w:lineRule="auto" w:after="20" w:before="20"/>
              <w:suppressLineNumbers/>
              <w:jc w:val="center"/>
            </w:pPr>
            <w:r>
              <w:rPr>
                <w:rFonts w:ascii="Times New Roman" w:hAnsi="Times New Roman"/>
                <w:b w:val="0"/>
                <w:sz w:val="18"/>
              </w:rPr>
              <w:t>0.4279</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HER2_07</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0.036 (−0.331, 0.395)</w:t>
            </w:r>
          </w:p>
        </w:tc>
        <w:tc>
          <w:tcPr>
            <w:tcW w:type="dxa" w:w="1134"/>
            <w:vAlign w:val="center"/>
          </w:tcPr>
          <w:p>
            <w:pPr>
              <w:keepNext w:val="0"/>
              <w:spacing w:line="252" w:lineRule="auto" w:after="20" w:before="20"/>
              <w:suppressLineNumbers/>
              <w:jc w:val="center"/>
            </w:pPr>
            <w:r>
              <w:rPr>
                <w:rFonts w:ascii="Times New Roman" w:hAnsi="Times New Roman"/>
                <w:b w:val="0"/>
                <w:sz w:val="18"/>
              </w:rPr>
              <w:t>0.8382</w:t>
            </w:r>
          </w:p>
        </w:tc>
        <w:tc>
          <w:tcPr>
            <w:tcW w:type="dxa" w:w="1134"/>
            <w:vAlign w:val="center"/>
          </w:tcPr>
          <w:p>
            <w:pPr>
              <w:keepNext w:val="0"/>
              <w:spacing w:line="252" w:lineRule="auto" w:after="20" w:before="20"/>
              <w:suppressLineNumbers/>
              <w:jc w:val="center"/>
            </w:pPr>
            <w:r>
              <w:rPr>
                <w:rFonts w:ascii="Times New Roman" w:hAnsi="Times New Roman"/>
                <w:b w:val="0"/>
                <w:sz w:val="18"/>
              </w:rPr>
              <w:t>0.9102</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HER2_08</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−0.202 (−0.537, 0.133)</w:t>
            </w:r>
          </w:p>
        </w:tc>
        <w:tc>
          <w:tcPr>
            <w:tcW w:type="dxa" w:w="1134"/>
            <w:vAlign w:val="center"/>
          </w:tcPr>
          <w:p>
            <w:pPr>
              <w:keepNext w:val="0"/>
              <w:spacing w:line="252" w:lineRule="auto" w:after="20" w:before="20"/>
              <w:suppressLineNumbers/>
              <w:jc w:val="center"/>
            </w:pPr>
            <w:r>
              <w:rPr>
                <w:rFonts w:ascii="Times New Roman" w:hAnsi="Times New Roman"/>
                <w:b w:val="0"/>
                <w:sz w:val="18"/>
              </w:rPr>
              <w:t>0.2128</w:t>
            </w:r>
          </w:p>
        </w:tc>
        <w:tc>
          <w:tcPr>
            <w:tcW w:type="dxa" w:w="1134"/>
            <w:vAlign w:val="center"/>
          </w:tcPr>
          <w:p>
            <w:pPr>
              <w:keepNext w:val="0"/>
              <w:spacing w:line="252" w:lineRule="auto" w:after="20" w:before="20"/>
              <w:suppressLineNumbers/>
              <w:jc w:val="center"/>
            </w:pPr>
            <w:r>
              <w:rPr>
                <w:rFonts w:ascii="Times New Roman" w:hAnsi="Times New Roman"/>
                <w:b w:val="0"/>
                <w:sz w:val="18"/>
              </w:rPr>
              <w:t>0.4279</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HER2_09</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−0.360 (−0.748, −0.013)</w:t>
            </w:r>
          </w:p>
        </w:tc>
        <w:tc>
          <w:tcPr>
            <w:tcW w:type="dxa" w:w="1134"/>
            <w:vAlign w:val="center"/>
          </w:tcPr>
          <w:p>
            <w:pPr>
              <w:keepNext w:val="0"/>
              <w:spacing w:line="252" w:lineRule="auto" w:after="20" w:before="20"/>
              <w:suppressLineNumbers/>
              <w:jc w:val="center"/>
            </w:pPr>
            <w:r>
              <w:rPr>
                <w:rFonts w:ascii="Times New Roman" w:hAnsi="Times New Roman"/>
                <w:b w:val="0"/>
                <w:sz w:val="18"/>
              </w:rPr>
              <w:t>0.04159</w:t>
            </w:r>
          </w:p>
        </w:tc>
        <w:tc>
          <w:tcPr>
            <w:tcW w:type="dxa" w:w="1134"/>
            <w:vAlign w:val="center"/>
          </w:tcPr>
          <w:p>
            <w:pPr>
              <w:keepNext w:val="0"/>
              <w:spacing w:line="252" w:lineRule="auto" w:after="20" w:before="20"/>
              <w:suppressLineNumbers/>
              <w:jc w:val="center"/>
            </w:pPr>
            <w:r>
              <w:rPr>
                <w:rFonts w:ascii="Times New Roman" w:hAnsi="Times New Roman"/>
                <w:b w:val="0"/>
                <w:sz w:val="18"/>
              </w:rPr>
              <w:t>0.4159</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HER2_10</w:t>
            </w:r>
          </w:p>
        </w:tc>
        <w:tc>
          <w:tcPr>
            <w:tcW w:type="dxa" w:w="1474"/>
            <w:vAlign w:val="center"/>
          </w:tcPr>
          <w:p>
            <w:pPr>
              <w:keepNext w:val="0"/>
              <w:spacing w:line="252" w:lineRule="auto" w:after="20" w:before="20"/>
              <w:suppressLineNumbers/>
            </w:pPr>
            <w:r>
              <w:rPr>
                <w:rFonts w:ascii="Times New Roman" w:hAnsi="Times New Roman"/>
                <w:b w:val="0"/>
                <w:sz w:val="18"/>
              </w:rPr>
              <w:t>TRIO-US B07</w:t>
            </w:r>
          </w:p>
        </w:tc>
        <w:tc>
          <w:tcPr>
            <w:tcW w:type="dxa" w:w="2381"/>
            <w:vAlign w:val="center"/>
          </w:tcPr>
          <w:p>
            <w:pPr>
              <w:keepNext w:val="0"/>
              <w:spacing w:line="252" w:lineRule="auto" w:after="20" w:before="20"/>
              <w:suppressLineNumbers/>
            </w:pPr>
            <w:r>
              <w:rPr>
                <w:rFonts w:ascii="Times New Roman" w:hAnsi="Times New Roman"/>
                <w:b w:val="0"/>
                <w:sz w:val="18"/>
              </w:rPr>
              <w:t>−0.145 (−0.507, 0.176)</w:t>
            </w:r>
          </w:p>
        </w:tc>
        <w:tc>
          <w:tcPr>
            <w:tcW w:type="dxa" w:w="1134"/>
            <w:vAlign w:val="center"/>
          </w:tcPr>
          <w:p>
            <w:pPr>
              <w:keepNext w:val="0"/>
              <w:spacing w:line="252" w:lineRule="auto" w:after="20" w:before="20"/>
              <w:suppressLineNumbers/>
              <w:jc w:val="center"/>
            </w:pPr>
            <w:r>
              <w:rPr>
                <w:rFonts w:ascii="Times New Roman" w:hAnsi="Times New Roman"/>
                <w:b w:val="0"/>
                <w:sz w:val="18"/>
              </w:rPr>
              <w:t>0.3503</w:t>
            </w:r>
          </w:p>
        </w:tc>
        <w:tc>
          <w:tcPr>
            <w:tcW w:type="dxa" w:w="1134"/>
            <w:vAlign w:val="center"/>
          </w:tcPr>
          <w:p>
            <w:pPr>
              <w:keepNext w:val="0"/>
              <w:spacing w:line="252" w:lineRule="auto" w:after="20" w:before="20"/>
              <w:suppressLineNumbers/>
              <w:jc w:val="center"/>
            </w:pPr>
            <w:r>
              <w:rPr>
                <w:rFonts w:ascii="Times New Roman" w:hAnsi="Times New Roman"/>
                <w:b w:val="0"/>
                <w:sz w:val="18"/>
              </w:rPr>
              <w:t>0.5839</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HER2_01</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0.344 (−0.026, 0.723)</w:t>
            </w:r>
          </w:p>
        </w:tc>
        <w:tc>
          <w:tcPr>
            <w:tcW w:type="dxa" w:w="1134"/>
            <w:vAlign w:val="center"/>
          </w:tcPr>
          <w:p>
            <w:pPr>
              <w:keepNext w:val="0"/>
              <w:spacing w:line="252" w:lineRule="auto" w:after="20" w:before="20"/>
              <w:suppressLineNumbers/>
              <w:jc w:val="center"/>
            </w:pPr>
            <w:r>
              <w:rPr>
                <w:rFonts w:ascii="Times New Roman" w:hAnsi="Times New Roman"/>
                <w:b w:val="0"/>
                <w:sz w:val="18"/>
              </w:rPr>
              <w:t>0.06966</w:t>
            </w:r>
          </w:p>
        </w:tc>
        <w:tc>
          <w:tcPr>
            <w:tcW w:type="dxa" w:w="1134"/>
            <w:vAlign w:val="center"/>
          </w:tcPr>
          <w:p>
            <w:pPr>
              <w:keepNext w:val="0"/>
              <w:spacing w:line="252" w:lineRule="auto" w:after="20" w:before="20"/>
              <w:suppressLineNumbers/>
              <w:jc w:val="center"/>
            </w:pPr>
            <w:r>
              <w:rPr>
                <w:rFonts w:ascii="Times New Roman" w:hAnsi="Times New Roman"/>
                <w:b w:val="0"/>
                <w:sz w:val="18"/>
              </w:rPr>
              <w:t>0.3002</w:t>
            </w:r>
          </w:p>
        </w:tc>
        <w:tc>
          <w:tcPr>
            <w:tcW w:type="dxa" w:w="1191"/>
            <w:vAlign w:val="center"/>
          </w:tcPr>
          <w:p>
            <w:pPr>
              <w:keepNext w:val="0"/>
              <w:spacing w:line="252" w:lineRule="auto" w:after="20" w:before="20"/>
              <w:suppressLineNumbers/>
              <w:jc w:val="center"/>
            </w:pPr>
            <w:r>
              <w:rPr>
                <w:rFonts w:ascii="Times New Roman" w:hAnsi="Times New Roman"/>
                <w:b w:val="0"/>
                <w:sz w:val="18"/>
              </w:rPr>
              <w:t>4736/5000</w:t>
            </w:r>
          </w:p>
        </w:tc>
        <w:tc>
          <w:tcPr>
            <w:tcW w:type="dxa" w:w="1247"/>
            <w:vAlign w:val="center"/>
          </w:tcPr>
          <w:p>
            <w:pPr>
              <w:keepNext w:val="0"/>
              <w:spacing w:line="252" w:lineRule="auto" w:after="20" w:before="20"/>
              <w:suppressLineNumbers/>
            </w:pPr>
            <w:r>
              <w:rPr>
                <w:rFonts w:ascii="Times New Roman" w:hAnsi="Times New Roman"/>
                <w:b w:val="0"/>
                <w:sz w:val="16"/>
              </w:rPr>
              <w:t>WARN_</w:t>
              <w:br/>
              <w:t>CONDITIONAL</w:t>
              <w:br/>
              <w:t>_PERCENTILE</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HER2_02</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0.003 (−0.394, 0.431)</w:t>
            </w:r>
          </w:p>
        </w:tc>
        <w:tc>
          <w:tcPr>
            <w:tcW w:type="dxa" w:w="1134"/>
            <w:vAlign w:val="center"/>
          </w:tcPr>
          <w:p>
            <w:pPr>
              <w:keepNext w:val="0"/>
              <w:spacing w:line="252" w:lineRule="auto" w:after="20" w:before="20"/>
              <w:suppressLineNumbers/>
              <w:jc w:val="center"/>
            </w:pPr>
            <w:r>
              <w:rPr>
                <w:rFonts w:ascii="Times New Roman" w:hAnsi="Times New Roman"/>
                <w:b w:val="0"/>
                <w:sz w:val="18"/>
              </w:rPr>
              <w:t>0.9874</w:t>
            </w:r>
          </w:p>
        </w:tc>
        <w:tc>
          <w:tcPr>
            <w:tcW w:type="dxa" w:w="1134"/>
            <w:vAlign w:val="center"/>
          </w:tcPr>
          <w:p>
            <w:pPr>
              <w:keepNext w:val="0"/>
              <w:spacing w:line="252" w:lineRule="auto" w:after="20" w:before="20"/>
              <w:suppressLineNumbers/>
              <w:jc w:val="center"/>
            </w:pPr>
            <w:r>
              <w:rPr>
                <w:rFonts w:ascii="Times New Roman" w:hAnsi="Times New Roman"/>
                <w:b w:val="0"/>
                <w:sz w:val="18"/>
              </w:rPr>
              <w:t>0.9874</w:t>
            </w:r>
          </w:p>
        </w:tc>
        <w:tc>
          <w:tcPr>
            <w:tcW w:type="dxa" w:w="1191"/>
            <w:vAlign w:val="center"/>
          </w:tcPr>
          <w:p>
            <w:pPr>
              <w:keepNext w:val="0"/>
              <w:spacing w:line="252" w:lineRule="auto" w:after="20" w:before="20"/>
              <w:suppressLineNumbers/>
              <w:jc w:val="center"/>
            </w:pPr>
            <w:r>
              <w:rPr>
                <w:rFonts w:ascii="Times New Roman" w:hAnsi="Times New Roman"/>
                <w:b w:val="0"/>
                <w:sz w:val="18"/>
              </w:rPr>
              <w:t>4996/5000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HER2_03</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−0.108 (−0.339, 0.214)</w:t>
            </w:r>
          </w:p>
        </w:tc>
        <w:tc>
          <w:tcPr>
            <w:tcW w:type="dxa" w:w="1134"/>
            <w:vAlign w:val="center"/>
          </w:tcPr>
          <w:p>
            <w:pPr>
              <w:keepNext w:val="0"/>
              <w:spacing w:line="252" w:lineRule="auto" w:after="20" w:before="20"/>
              <w:suppressLineNumbers/>
              <w:jc w:val="center"/>
            </w:pPr>
            <w:r>
              <w:rPr>
                <w:rFonts w:ascii="Times New Roman" w:hAnsi="Times New Roman"/>
                <w:b w:val="0"/>
                <w:sz w:val="18"/>
              </w:rPr>
              <w:t>0.4315</w:t>
            </w:r>
          </w:p>
        </w:tc>
        <w:tc>
          <w:tcPr>
            <w:tcW w:type="dxa" w:w="1134"/>
            <w:vAlign w:val="center"/>
          </w:tcPr>
          <w:p>
            <w:pPr>
              <w:keepNext w:val="0"/>
              <w:spacing w:line="252" w:lineRule="auto" w:after="20" w:before="20"/>
              <w:suppressLineNumbers/>
              <w:jc w:val="center"/>
            </w:pPr>
            <w:r>
              <w:rPr>
                <w:rFonts w:ascii="Times New Roman" w:hAnsi="Times New Roman"/>
                <w:b w:val="0"/>
                <w:sz w:val="18"/>
              </w:rPr>
              <w:t>0.5393</w:t>
            </w:r>
          </w:p>
        </w:tc>
        <w:tc>
          <w:tcPr>
            <w:tcW w:type="dxa" w:w="1191"/>
            <w:vAlign w:val="center"/>
          </w:tcPr>
          <w:p>
            <w:pPr>
              <w:keepNext w:val="0"/>
              <w:spacing w:line="252" w:lineRule="auto" w:after="20" w:before="20"/>
              <w:suppressLineNumbers/>
              <w:jc w:val="center"/>
            </w:pPr>
            <w:r>
              <w:rPr>
                <w:rFonts w:ascii="Times New Roman" w:hAnsi="Times New Roman"/>
                <w:b w:val="0"/>
                <w:sz w:val="18"/>
              </w:rPr>
              <w:t>4982/5000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HER2_04</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−0.282 (−0.662, 0.157)</w:t>
            </w:r>
          </w:p>
        </w:tc>
        <w:tc>
          <w:tcPr>
            <w:tcW w:type="dxa" w:w="1134"/>
            <w:vAlign w:val="center"/>
          </w:tcPr>
          <w:p>
            <w:pPr>
              <w:keepNext w:val="0"/>
              <w:spacing w:line="252" w:lineRule="auto" w:after="20" w:before="20"/>
              <w:suppressLineNumbers/>
              <w:jc w:val="center"/>
            </w:pPr>
            <w:r>
              <w:rPr>
                <w:rFonts w:ascii="Times New Roman" w:hAnsi="Times New Roman"/>
                <w:b w:val="0"/>
                <w:sz w:val="18"/>
              </w:rPr>
              <w:t>0.2104</w:t>
            </w:r>
          </w:p>
        </w:tc>
        <w:tc>
          <w:tcPr>
            <w:tcW w:type="dxa" w:w="1134"/>
            <w:vAlign w:val="center"/>
          </w:tcPr>
          <w:p>
            <w:pPr>
              <w:keepNext w:val="0"/>
              <w:spacing w:line="252" w:lineRule="auto" w:after="20" w:before="20"/>
              <w:suppressLineNumbers/>
              <w:jc w:val="center"/>
            </w:pPr>
            <w:r>
              <w:rPr>
                <w:rFonts w:ascii="Times New Roman" w:hAnsi="Times New Roman"/>
                <w:b w:val="0"/>
                <w:sz w:val="18"/>
              </w:rPr>
              <w:t>0.3958</w:t>
            </w:r>
          </w:p>
        </w:tc>
        <w:tc>
          <w:tcPr>
            <w:tcW w:type="dxa" w:w="1191"/>
            <w:vAlign w:val="center"/>
          </w:tcPr>
          <w:p>
            <w:pPr>
              <w:keepNext w:val="0"/>
              <w:spacing w:line="252" w:lineRule="auto" w:after="20" w:before="20"/>
              <w:suppressLineNumbers/>
              <w:jc w:val="center"/>
            </w:pPr>
            <w:r>
              <w:rPr>
                <w:rFonts w:ascii="Times New Roman" w:hAnsi="Times New Roman"/>
                <w:b w:val="0"/>
                <w:sz w:val="18"/>
              </w:rPr>
              <w:t>4913/5000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HER2_05</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−0.364 (−0.880, 0.036)</w:t>
            </w:r>
          </w:p>
        </w:tc>
        <w:tc>
          <w:tcPr>
            <w:tcW w:type="dxa" w:w="1134"/>
            <w:vAlign w:val="center"/>
          </w:tcPr>
          <w:p>
            <w:pPr>
              <w:keepNext w:val="0"/>
              <w:spacing w:line="252" w:lineRule="auto" w:after="20" w:before="20"/>
              <w:suppressLineNumbers/>
              <w:jc w:val="center"/>
            </w:pPr>
            <w:r>
              <w:rPr>
                <w:rFonts w:ascii="Times New Roman" w:hAnsi="Times New Roman"/>
                <w:b w:val="0"/>
                <w:sz w:val="18"/>
              </w:rPr>
              <w:t>0.08243</w:t>
            </w:r>
          </w:p>
        </w:tc>
        <w:tc>
          <w:tcPr>
            <w:tcW w:type="dxa" w:w="1134"/>
            <w:vAlign w:val="center"/>
          </w:tcPr>
          <w:p>
            <w:pPr>
              <w:keepNext w:val="0"/>
              <w:spacing w:line="252" w:lineRule="auto" w:after="20" w:before="20"/>
              <w:suppressLineNumbers/>
              <w:jc w:val="center"/>
            </w:pPr>
            <w:r>
              <w:rPr>
                <w:rFonts w:ascii="Times New Roman" w:hAnsi="Times New Roman"/>
                <w:b w:val="0"/>
                <w:sz w:val="18"/>
              </w:rPr>
              <w:t>0.3002</w:t>
            </w:r>
          </w:p>
        </w:tc>
        <w:tc>
          <w:tcPr>
            <w:tcW w:type="dxa" w:w="1191"/>
            <w:vAlign w:val="center"/>
          </w:tcPr>
          <w:p>
            <w:pPr>
              <w:keepNext w:val="0"/>
              <w:spacing w:line="252" w:lineRule="auto" w:after="20" w:before="20"/>
              <w:suppressLineNumbers/>
              <w:jc w:val="center"/>
            </w:pPr>
            <w:r>
              <w:rPr>
                <w:rFonts w:ascii="Times New Roman" w:hAnsi="Times New Roman"/>
                <w:b w:val="0"/>
                <w:sz w:val="18"/>
              </w:rPr>
              <w:t>4900/5000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HER2_06</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−0.246 (−0.803, 0.074)</w:t>
            </w:r>
          </w:p>
        </w:tc>
        <w:tc>
          <w:tcPr>
            <w:tcW w:type="dxa" w:w="1134"/>
            <w:vAlign w:val="center"/>
          </w:tcPr>
          <w:p>
            <w:pPr>
              <w:keepNext w:val="0"/>
              <w:spacing w:line="252" w:lineRule="auto" w:after="20" w:before="20"/>
              <w:suppressLineNumbers/>
              <w:jc w:val="center"/>
            </w:pPr>
            <w:r>
              <w:rPr>
                <w:rFonts w:ascii="Times New Roman" w:hAnsi="Times New Roman"/>
                <w:b w:val="0"/>
                <w:sz w:val="18"/>
              </w:rPr>
              <w:t>0.1158</w:t>
            </w:r>
          </w:p>
        </w:tc>
        <w:tc>
          <w:tcPr>
            <w:tcW w:type="dxa" w:w="1134"/>
            <w:vAlign w:val="center"/>
          </w:tcPr>
          <w:p>
            <w:pPr>
              <w:keepNext w:val="0"/>
              <w:spacing w:line="252" w:lineRule="auto" w:after="20" w:before="20"/>
              <w:suppressLineNumbers/>
              <w:jc w:val="center"/>
            </w:pPr>
            <w:r>
              <w:rPr>
                <w:rFonts w:ascii="Times New Roman" w:hAnsi="Times New Roman"/>
                <w:b w:val="0"/>
                <w:sz w:val="18"/>
              </w:rPr>
              <w:t>0.3002</w:t>
            </w:r>
          </w:p>
        </w:tc>
        <w:tc>
          <w:tcPr>
            <w:tcW w:type="dxa" w:w="1191"/>
            <w:vAlign w:val="center"/>
          </w:tcPr>
          <w:p>
            <w:pPr>
              <w:keepNext w:val="0"/>
              <w:spacing w:line="252" w:lineRule="auto" w:after="20" w:before="20"/>
              <w:suppressLineNumbers/>
              <w:jc w:val="center"/>
            </w:pPr>
            <w:r>
              <w:rPr>
                <w:rFonts w:ascii="Times New Roman" w:hAnsi="Times New Roman"/>
                <w:b w:val="0"/>
                <w:sz w:val="18"/>
              </w:rPr>
              <w:t>4923/5000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HER2_07</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0.264 (−0.074, 0.592)</w:t>
            </w:r>
          </w:p>
        </w:tc>
        <w:tc>
          <w:tcPr>
            <w:tcW w:type="dxa" w:w="1134"/>
            <w:vAlign w:val="center"/>
          </w:tcPr>
          <w:p>
            <w:pPr>
              <w:keepNext w:val="0"/>
              <w:spacing w:line="252" w:lineRule="auto" w:after="20" w:before="20"/>
              <w:suppressLineNumbers/>
              <w:jc w:val="center"/>
            </w:pPr>
            <w:r>
              <w:rPr>
                <w:rFonts w:ascii="Times New Roman" w:hAnsi="Times New Roman"/>
                <w:b w:val="0"/>
                <w:sz w:val="18"/>
              </w:rPr>
              <w:t>0.1201</w:t>
            </w:r>
          </w:p>
        </w:tc>
        <w:tc>
          <w:tcPr>
            <w:tcW w:type="dxa" w:w="1134"/>
            <w:vAlign w:val="center"/>
          </w:tcPr>
          <w:p>
            <w:pPr>
              <w:keepNext w:val="0"/>
              <w:spacing w:line="252" w:lineRule="auto" w:after="20" w:before="20"/>
              <w:suppressLineNumbers/>
              <w:jc w:val="center"/>
            </w:pPr>
            <w:r>
              <w:rPr>
                <w:rFonts w:ascii="Times New Roman" w:hAnsi="Times New Roman"/>
                <w:b w:val="0"/>
                <w:sz w:val="18"/>
              </w:rPr>
              <w:t>0.3002</w:t>
            </w:r>
          </w:p>
        </w:tc>
        <w:tc>
          <w:tcPr>
            <w:tcW w:type="dxa" w:w="1191"/>
            <w:vAlign w:val="center"/>
          </w:tcPr>
          <w:p>
            <w:pPr>
              <w:keepNext w:val="0"/>
              <w:spacing w:line="252" w:lineRule="auto" w:after="20" w:before="20"/>
              <w:suppressLineNumbers/>
              <w:jc w:val="center"/>
            </w:pPr>
            <w:r>
              <w:rPr>
                <w:rFonts w:ascii="Times New Roman" w:hAnsi="Times New Roman"/>
                <w:b w:val="0"/>
                <w:sz w:val="18"/>
              </w:rPr>
              <w:t>4996/5000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HER2_08</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−0.199 (−0.734, 0.144)</w:t>
            </w:r>
          </w:p>
        </w:tc>
        <w:tc>
          <w:tcPr>
            <w:tcW w:type="dxa" w:w="1134"/>
            <w:vAlign w:val="center"/>
          </w:tcPr>
          <w:p>
            <w:pPr>
              <w:keepNext w:val="0"/>
              <w:spacing w:line="252" w:lineRule="auto" w:after="20" w:before="20"/>
              <w:suppressLineNumbers/>
              <w:jc w:val="center"/>
            </w:pPr>
            <w:r>
              <w:rPr>
                <w:rFonts w:ascii="Times New Roman" w:hAnsi="Times New Roman"/>
                <w:b w:val="0"/>
                <w:sz w:val="18"/>
              </w:rPr>
              <w:t>0.2568</w:t>
            </w:r>
          </w:p>
        </w:tc>
        <w:tc>
          <w:tcPr>
            <w:tcW w:type="dxa" w:w="1134"/>
            <w:vAlign w:val="center"/>
          </w:tcPr>
          <w:p>
            <w:pPr>
              <w:keepNext w:val="0"/>
              <w:spacing w:line="252" w:lineRule="auto" w:after="20" w:before="20"/>
              <w:suppressLineNumbers/>
              <w:jc w:val="center"/>
            </w:pPr>
            <w:r>
              <w:rPr>
                <w:rFonts w:ascii="Times New Roman" w:hAnsi="Times New Roman"/>
                <w:b w:val="0"/>
                <w:sz w:val="18"/>
              </w:rPr>
              <w:t>0.3958</w:t>
            </w:r>
          </w:p>
        </w:tc>
        <w:tc>
          <w:tcPr>
            <w:tcW w:type="dxa" w:w="1191"/>
            <w:vAlign w:val="center"/>
          </w:tcPr>
          <w:p>
            <w:pPr>
              <w:keepNext w:val="0"/>
              <w:spacing w:line="252" w:lineRule="auto" w:after="20" w:before="20"/>
              <w:suppressLineNumbers/>
              <w:jc w:val="center"/>
            </w:pPr>
            <w:r>
              <w:rPr>
                <w:rFonts w:ascii="Times New Roman" w:hAnsi="Times New Roman"/>
                <w:b w:val="0"/>
                <w:sz w:val="18"/>
              </w:rPr>
              <w:t>4961/5000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HER2_09</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−0.200 (−0.750, 0.171)</w:t>
            </w:r>
          </w:p>
        </w:tc>
        <w:tc>
          <w:tcPr>
            <w:tcW w:type="dxa" w:w="1134"/>
            <w:vAlign w:val="center"/>
          </w:tcPr>
          <w:p>
            <w:pPr>
              <w:keepNext w:val="0"/>
              <w:spacing w:line="252" w:lineRule="auto" w:after="20" w:before="20"/>
              <w:suppressLineNumbers/>
              <w:jc w:val="center"/>
            </w:pPr>
            <w:r>
              <w:rPr>
                <w:rFonts w:ascii="Times New Roman" w:hAnsi="Times New Roman"/>
                <w:b w:val="0"/>
                <w:sz w:val="18"/>
              </w:rPr>
              <w:t>0.2771</w:t>
            </w:r>
          </w:p>
        </w:tc>
        <w:tc>
          <w:tcPr>
            <w:tcW w:type="dxa" w:w="1134"/>
            <w:vAlign w:val="center"/>
          </w:tcPr>
          <w:p>
            <w:pPr>
              <w:keepNext w:val="0"/>
              <w:spacing w:line="252" w:lineRule="auto" w:after="20" w:before="20"/>
              <w:suppressLineNumbers/>
              <w:jc w:val="center"/>
            </w:pPr>
            <w:r>
              <w:rPr>
                <w:rFonts w:ascii="Times New Roman" w:hAnsi="Times New Roman"/>
                <w:b w:val="0"/>
                <w:sz w:val="18"/>
              </w:rPr>
              <w:t>0.3958</w:t>
            </w:r>
          </w:p>
        </w:tc>
        <w:tc>
          <w:tcPr>
            <w:tcW w:type="dxa" w:w="1191"/>
            <w:vAlign w:val="center"/>
          </w:tcPr>
          <w:p>
            <w:pPr>
              <w:keepNext w:val="0"/>
              <w:spacing w:line="252" w:lineRule="auto" w:after="20" w:before="20"/>
              <w:suppressLineNumbers/>
              <w:jc w:val="center"/>
            </w:pPr>
            <w:r>
              <w:rPr>
                <w:rFonts w:ascii="Times New Roman" w:hAnsi="Times New Roman"/>
                <w:b w:val="0"/>
                <w:sz w:val="18"/>
              </w:rPr>
              <w:t>4994/5000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HER2_10</w:t>
            </w:r>
          </w:p>
        </w:tc>
        <w:tc>
          <w:tcPr>
            <w:tcW w:type="dxa" w:w="1474"/>
            <w:vAlign w:val="center"/>
          </w:tcPr>
          <w:p>
            <w:pPr>
              <w:keepNext w:val="0"/>
              <w:spacing w:line="252" w:lineRule="auto" w:after="20" w:before="20"/>
              <w:suppressLineNumbers/>
            </w:pPr>
            <w:r>
              <w:rPr>
                <w:rFonts w:ascii="Times New Roman" w:hAnsi="Times New Roman"/>
                <w:b w:val="0"/>
                <w:sz w:val="18"/>
              </w:rPr>
              <w:t>CHER-LOB</w:t>
            </w:r>
          </w:p>
        </w:tc>
        <w:tc>
          <w:tcPr>
            <w:tcW w:type="dxa" w:w="2381"/>
            <w:vAlign w:val="center"/>
          </w:tcPr>
          <w:p>
            <w:pPr>
              <w:keepNext w:val="0"/>
              <w:spacing w:line="252" w:lineRule="auto" w:after="20" w:before="20"/>
              <w:suppressLineNumbers/>
            </w:pPr>
            <w:r>
              <w:rPr>
                <w:rFonts w:ascii="Times New Roman" w:hAnsi="Times New Roman"/>
                <w:b w:val="0"/>
                <w:sz w:val="18"/>
              </w:rPr>
              <w:t>−0.021 (−0.387, 0.336)</w:t>
            </w:r>
          </w:p>
        </w:tc>
        <w:tc>
          <w:tcPr>
            <w:tcW w:type="dxa" w:w="1134"/>
            <w:vAlign w:val="center"/>
          </w:tcPr>
          <w:p>
            <w:pPr>
              <w:keepNext w:val="0"/>
              <w:spacing w:line="252" w:lineRule="auto" w:after="20" w:before="20"/>
              <w:suppressLineNumbers/>
              <w:jc w:val="center"/>
            </w:pPr>
            <w:r>
              <w:rPr>
                <w:rFonts w:ascii="Times New Roman" w:hAnsi="Times New Roman"/>
                <w:b w:val="0"/>
                <w:sz w:val="18"/>
              </w:rPr>
              <w:t>0.9165</w:t>
            </w:r>
          </w:p>
        </w:tc>
        <w:tc>
          <w:tcPr>
            <w:tcW w:type="dxa" w:w="1134"/>
            <w:vAlign w:val="center"/>
          </w:tcPr>
          <w:p>
            <w:pPr>
              <w:keepNext w:val="0"/>
              <w:spacing w:line="252" w:lineRule="auto" w:after="20" w:before="20"/>
              <w:suppressLineNumbers/>
              <w:jc w:val="center"/>
            </w:pPr>
            <w:r>
              <w:rPr>
                <w:rFonts w:ascii="Times New Roman" w:hAnsi="Times New Roman"/>
                <w:b w:val="0"/>
                <w:sz w:val="18"/>
              </w:rPr>
              <w:t>0.9874</w:t>
            </w:r>
          </w:p>
        </w:tc>
        <w:tc>
          <w:tcPr>
            <w:tcW w:type="dxa" w:w="1191"/>
            <w:vAlign w:val="center"/>
          </w:tcPr>
          <w:p>
            <w:pPr>
              <w:keepNext w:val="0"/>
              <w:spacing w:line="252" w:lineRule="auto" w:after="20" w:before="20"/>
              <w:suppressLineNumbers/>
              <w:jc w:val="center"/>
            </w:pPr>
            <w:r>
              <w:rPr>
                <w:rFonts w:ascii="Times New Roman" w:hAnsi="Times New Roman"/>
                <w:b w:val="0"/>
                <w:sz w:val="18"/>
              </w:rPr>
              <w:t>4944/5000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TNBC_01</w:t>
            </w:r>
          </w:p>
        </w:tc>
        <w:tc>
          <w:tcPr>
            <w:tcW w:type="dxa" w:w="1474"/>
            <w:vAlign w:val="center"/>
          </w:tcPr>
          <w:p>
            <w:pPr>
              <w:keepNext w:val="0"/>
              <w:spacing w:line="252" w:lineRule="auto" w:after="20" w:before="20"/>
              <w:suppressLineNumbers/>
            </w:pPr>
            <w:r>
              <w:rPr>
                <w:rFonts w:ascii="Times New Roman" w:hAnsi="Times New Roman"/>
                <w:b w:val="0"/>
                <w:sz w:val="18"/>
              </w:rPr>
              <w:t>BrighTNess</w:t>
            </w:r>
          </w:p>
        </w:tc>
        <w:tc>
          <w:tcPr>
            <w:tcW w:type="dxa" w:w="2381"/>
            <w:vAlign w:val="center"/>
          </w:tcPr>
          <w:p>
            <w:pPr>
              <w:keepNext w:val="0"/>
              <w:spacing w:line="252" w:lineRule="auto" w:after="20" w:before="20"/>
              <w:suppressLineNumbers/>
            </w:pPr>
            <w:r>
              <w:rPr>
                <w:rFonts w:ascii="Times New Roman" w:hAnsi="Times New Roman"/>
                <w:b w:val="0"/>
                <w:sz w:val="18"/>
              </w:rPr>
              <w:t>0.044 (−0.140, 0.240)</w:t>
            </w:r>
          </w:p>
        </w:tc>
        <w:tc>
          <w:tcPr>
            <w:tcW w:type="dxa" w:w="1134"/>
            <w:vAlign w:val="center"/>
          </w:tcPr>
          <w:p>
            <w:pPr>
              <w:keepNext w:val="0"/>
              <w:spacing w:line="252" w:lineRule="auto" w:after="20" w:before="20"/>
              <w:suppressLineNumbers/>
              <w:jc w:val="center"/>
            </w:pPr>
            <w:r>
              <w:rPr>
                <w:rFonts w:ascii="Times New Roman" w:hAnsi="Times New Roman"/>
                <w:b w:val="0"/>
                <w:sz w:val="18"/>
              </w:rPr>
              <w:t>0.6291</w:t>
            </w:r>
          </w:p>
        </w:tc>
        <w:tc>
          <w:tcPr>
            <w:tcW w:type="dxa" w:w="1134"/>
            <w:vAlign w:val="center"/>
          </w:tcPr>
          <w:p>
            <w:pPr>
              <w:keepNext w:val="0"/>
              <w:spacing w:line="252" w:lineRule="auto" w:after="20" w:before="20"/>
              <w:suppressLineNumbers/>
              <w:jc w:val="center"/>
            </w:pPr>
            <w:r>
              <w:rPr>
                <w:rFonts w:ascii="Times New Roman" w:hAnsi="Times New Roman"/>
                <w:b w:val="0"/>
                <w:sz w:val="18"/>
              </w:rPr>
              <w:t>0.6291</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TNBC_04</w:t>
            </w:r>
          </w:p>
        </w:tc>
        <w:tc>
          <w:tcPr>
            <w:tcW w:type="dxa" w:w="1474"/>
            <w:vAlign w:val="center"/>
          </w:tcPr>
          <w:p>
            <w:pPr>
              <w:keepNext w:val="0"/>
              <w:spacing w:line="252" w:lineRule="auto" w:after="20" w:before="20"/>
              <w:suppressLineNumbers/>
            </w:pPr>
            <w:r>
              <w:rPr>
                <w:rFonts w:ascii="Times New Roman" w:hAnsi="Times New Roman"/>
                <w:b w:val="0"/>
                <w:sz w:val="18"/>
              </w:rPr>
              <w:t>BrighTNess</w:t>
            </w:r>
          </w:p>
        </w:tc>
        <w:tc>
          <w:tcPr>
            <w:tcW w:type="dxa" w:w="2381"/>
            <w:vAlign w:val="center"/>
          </w:tcPr>
          <w:p>
            <w:pPr>
              <w:keepNext w:val="0"/>
              <w:spacing w:line="252" w:lineRule="auto" w:after="20" w:before="20"/>
              <w:suppressLineNumbers/>
            </w:pPr>
            <w:r>
              <w:rPr>
                <w:rFonts w:ascii="Times New Roman" w:hAnsi="Times New Roman"/>
                <w:b w:val="0"/>
                <w:sz w:val="18"/>
              </w:rPr>
              <w:t>0.037 (−0.127, 0.181)</w:t>
            </w:r>
          </w:p>
        </w:tc>
        <w:tc>
          <w:tcPr>
            <w:tcW w:type="dxa" w:w="1134"/>
            <w:vAlign w:val="center"/>
          </w:tcPr>
          <w:p>
            <w:pPr>
              <w:keepNext w:val="0"/>
              <w:spacing w:line="252" w:lineRule="auto" w:after="20" w:before="20"/>
              <w:suppressLineNumbers/>
              <w:jc w:val="center"/>
            </w:pPr>
            <w:r>
              <w:rPr>
                <w:rFonts w:ascii="Times New Roman" w:hAnsi="Times New Roman"/>
                <w:b w:val="0"/>
                <w:sz w:val="18"/>
              </w:rPr>
              <w:t>0.6383</w:t>
            </w:r>
          </w:p>
        </w:tc>
        <w:tc>
          <w:tcPr>
            <w:tcW w:type="dxa" w:w="1134"/>
            <w:vAlign w:val="center"/>
          </w:tcPr>
          <w:p>
            <w:pPr>
              <w:keepNext w:val="0"/>
              <w:spacing w:line="252" w:lineRule="auto" w:after="20" w:before="20"/>
              <w:suppressLineNumbers/>
              <w:jc w:val="center"/>
            </w:pPr>
            <w:r>
              <w:rPr>
                <w:rFonts w:ascii="Times New Roman" w:hAnsi="Times New Roman"/>
                <w:b w:val="0"/>
                <w:sz w:val="18"/>
              </w:rPr>
              <w:t>0.6383</w:t>
            </w:r>
          </w:p>
        </w:tc>
        <w:tc>
          <w:tcPr>
            <w:tcW w:type="dxa" w:w="1191"/>
            <w:vAlign w:val="center"/>
          </w:tcPr>
          <w:p>
            <w:pPr>
              <w:keepNext w:val="0"/>
              <w:spacing w:line="252" w:lineRule="auto" w:after="20" w:before="20"/>
              <w:suppressLineNumbers/>
              <w:jc w:val="center"/>
            </w:pPr>
            <w:r>
              <w:rPr>
                <w:rFonts w:ascii="Times New Roman" w:hAnsi="Times New Roman"/>
                <w:b w:val="0"/>
                <w:sz w:val="18"/>
              </w:rPr>
              <w:t>5000/5000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r>
        <w:trPr>
          <w:cantSplit/>
        </w:trPr>
        <w:tc>
          <w:tcPr>
            <w:tcW w:type="dxa" w:w="1077"/>
            <w:vAlign w:val="center"/>
          </w:tcPr>
          <w:p>
            <w:pPr>
              <w:keepNext w:val="0"/>
              <w:spacing w:line="252" w:lineRule="auto" w:after="20" w:before="20"/>
              <w:suppressLineNumbers/>
            </w:pPr>
            <w:r>
              <w:rPr>
                <w:rFonts w:ascii="Times New Roman" w:hAnsi="Times New Roman"/>
                <w:b w:val="0"/>
                <w:sz w:val="18"/>
              </w:rPr>
              <w:t>TNBC_03</w:t>
            </w:r>
          </w:p>
        </w:tc>
        <w:tc>
          <w:tcPr>
            <w:tcW w:type="dxa" w:w="1474"/>
            <w:vAlign w:val="center"/>
          </w:tcPr>
          <w:p>
            <w:pPr>
              <w:keepNext w:val="0"/>
              <w:spacing w:line="252" w:lineRule="auto" w:after="20" w:before="20"/>
              <w:suppressLineNumbers/>
            </w:pPr>
            <w:r>
              <w:rPr>
                <w:rFonts w:ascii="Times New Roman" w:hAnsi="Times New Roman"/>
                <w:b w:val="0"/>
                <w:sz w:val="18"/>
              </w:rPr>
              <w:t>I-SPY2 DOP / GSE173839</w:t>
            </w:r>
          </w:p>
        </w:tc>
        <w:tc>
          <w:tcPr>
            <w:tcW w:type="dxa" w:w="2381"/>
            <w:vAlign w:val="center"/>
          </w:tcPr>
          <w:p>
            <w:pPr>
              <w:keepNext w:val="0"/>
              <w:spacing w:line="252" w:lineRule="auto" w:after="20" w:before="20"/>
              <w:suppressLineNumbers/>
            </w:pPr>
            <w:r>
              <w:rPr>
                <w:rFonts w:ascii="Times New Roman" w:hAnsi="Times New Roman"/>
                <w:b w:val="0"/>
                <w:sz w:val="18"/>
              </w:rPr>
              <w:t>0.147 (−0.162, 0.406)</w:t>
            </w:r>
          </w:p>
        </w:tc>
        <w:tc>
          <w:tcPr>
            <w:tcW w:type="dxa" w:w="1134"/>
            <w:vAlign w:val="center"/>
          </w:tcPr>
          <w:p>
            <w:pPr>
              <w:keepNext w:val="0"/>
              <w:spacing w:line="252" w:lineRule="auto" w:after="20" w:before="20"/>
              <w:suppressLineNumbers/>
              <w:jc w:val="center"/>
            </w:pPr>
            <w:r>
              <w:rPr>
                <w:rFonts w:ascii="Times New Roman" w:hAnsi="Times New Roman"/>
                <w:b w:val="0"/>
                <w:sz w:val="18"/>
              </w:rPr>
              <w:t>0.2726</w:t>
            </w:r>
          </w:p>
        </w:tc>
        <w:tc>
          <w:tcPr>
            <w:tcW w:type="dxa" w:w="1134"/>
            <w:vAlign w:val="center"/>
          </w:tcPr>
          <w:p>
            <w:pPr>
              <w:keepNext w:val="0"/>
              <w:spacing w:line="252" w:lineRule="auto" w:after="20" w:before="20"/>
              <w:suppressLineNumbers/>
              <w:jc w:val="center"/>
            </w:pPr>
            <w:r>
              <w:rPr>
                <w:rFonts w:ascii="Times New Roman" w:hAnsi="Times New Roman"/>
                <w:b w:val="0"/>
                <w:sz w:val="18"/>
              </w:rPr>
              <w:t>0.2726</w:t>
            </w:r>
          </w:p>
        </w:tc>
        <w:tc>
          <w:tcPr>
            <w:tcW w:type="dxa" w:w="1191"/>
            <w:vAlign w:val="center"/>
          </w:tcPr>
          <w:p>
            <w:pPr>
              <w:keepNext w:val="0"/>
              <w:spacing w:line="252" w:lineRule="auto" w:after="20" w:before="20"/>
              <w:suppressLineNumbers/>
              <w:jc w:val="center"/>
            </w:pPr>
            <w:r>
              <w:rPr>
                <w:rFonts w:ascii="Times New Roman" w:hAnsi="Times New Roman"/>
                <w:b w:val="0"/>
                <w:sz w:val="18"/>
              </w:rPr>
              <w:t>4995/5000</w:t>
            </w:r>
          </w:p>
        </w:tc>
        <w:tc>
          <w:tcPr>
            <w:tcW w:type="dxa" w:w="1247"/>
            <w:vAlign w:val="center"/>
          </w:tcPr>
          <w:p>
            <w:pPr>
              <w:keepNext w:val="0"/>
              <w:spacing w:line="252" w:lineRule="auto" w:after="20" w:before="20"/>
              <w:suppressLineNumbers/>
              <w:jc w:val="center"/>
            </w:pPr>
            <w:r>
              <w:rPr>
                <w:rFonts w:ascii="Times New Roman" w:hAnsi="Times New Roman"/>
                <w:b w:val="0"/>
                <w:sz w:val="18"/>
              </w:rPr>
              <w:t>PASS</w:t>
            </w:r>
          </w:p>
        </w:tc>
      </w:tr>
    </w:tbl>
    <w:p>
      <w:pPr>
        <w:spacing w:after="40" w:line="240" w:lineRule="auto"/>
      </w:pPr>
    </w:p>
    <w:p>
      <w:pPr>
        <w:keepLines/>
        <w:spacing w:line="264" w:lineRule="auto" w:after="140"/>
      </w:pPr>
      <w:r>
        <w:rPr>
          <w:rFonts w:ascii="Times New Roman" w:hAnsi="Times New Roman"/>
          <w:b w:val="0"/>
          <w:sz w:val="20"/>
        </w:rPr>
        <w:t>ΔRD=RD(Q75)−RD(Q25), at the original fixed pooled marker quartiles. Intervals use valid recorded-arm bootstrap fits. CHER-LOB ESR1_DESMEDT retains its conditional warning (4,736/5,000; 94.72%). Historical sign-tail and within-family BH-transformed summaries are descriptive: null calibration and confirmatory FDR control were not established. The original field names bootstrap_sign_p, bootstrap_bh_q_within_family and historical additive labels remain in Additional file 4C for reproducibility, but their names are not current confirmatory interpretations. Added review fields state the qualification. No absolute-effect result changes a frozen primary label. TRIO phase is unverified; DOP includes hormone-receptor-positive and TNBC HER2-negative disease. Exact comparison and standardization are in Table S4 and Additional file 1B.</w:t>
      </w:r>
    </w:p>
    <w:p>
      <w:pPr>
        <w:sectPr>
          <w:footerReference w:type="default" r:id="rId9"/>
          <w:pgSz w:w="11906" w:h="16838"/>
          <w:pgMar w:top="1020" w:right="1134" w:bottom="1020" w:left="1134" w:header="510" w:footer="567" w:gutter="0"/>
          <w:cols w:space="720"/>
          <w:docGrid w:linePitch="360"/>
          <w:lnNumType w:countBy="1" w:start="1" w:restart="continuous" w:distance="120"/>
        </w:sectPr>
      </w:pPr>
    </w:p>
    <w:p>
      <w:pPr>
        <w:pStyle w:val="Caption"/>
        <w:keepNext/>
        <w:suppressLineNumbers/>
      </w:pPr>
      <w:r>
        <w:rPr>
          <w:rFonts w:ascii="Times New Roman" w:hAnsi="Times New Roman"/>
          <w:b/>
          <w:sz w:val="20"/>
        </w:rPr>
        <w:t>Supplementary Table S4 | All 27 local trial-specific implementation contexts.</w:t>
      </w:r>
    </w:p>
    <w:tbl>
      <w:tblPr>
        <w:tblW w:type="auto" w:w="0"/>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65" w:type="dxa"/>
          <w:right w:w="65" w:type="dxa"/>
        </w:tblCellMar>
      </w:tblPr>
      <w:tblGrid>
        <w:gridCol w:w="1245"/>
        <w:gridCol w:w="1806"/>
        <w:gridCol w:w="2491"/>
        <w:gridCol w:w="1059"/>
        <w:gridCol w:w="1308"/>
        <w:gridCol w:w="2926"/>
        <w:gridCol w:w="3736"/>
      </w:tblGrid>
      <w:tr>
        <w:trPr>
          <w:tblHeader/>
          <w:cantSplit/>
        </w:trPr>
        <w:tc>
          <w:tcPr>
            <w:tcW w:type="dxa" w:w="1245"/>
            <w:vAlign w:val="center"/>
            <w:shd w:fill="EAF0F4" w:val="clear"/>
          </w:tcPr>
          <w:p>
            <w:pPr>
              <w:keepNext/>
              <w:spacing w:line="252" w:lineRule="auto" w:after="20" w:before="20"/>
              <w:suppressLineNumbers/>
            </w:pPr>
            <w:r>
              <w:rPr>
                <w:rFonts w:ascii="Times New Roman" w:hAnsi="Times New Roman"/>
                <w:b/>
                <w:sz w:val="18"/>
              </w:rPr>
              <w:t>Object</w:t>
            </w:r>
          </w:p>
        </w:tc>
        <w:tc>
          <w:tcPr>
            <w:tcW w:type="dxa" w:w="1806"/>
            <w:vAlign w:val="center"/>
            <w:shd w:fill="EAF0F4" w:val="clear"/>
          </w:tcPr>
          <w:p>
            <w:pPr>
              <w:keepNext/>
              <w:spacing w:line="252" w:lineRule="auto" w:after="20" w:before="20"/>
              <w:suppressLineNumbers/>
            </w:pPr>
            <w:r>
              <w:rPr>
                <w:rFonts w:ascii="Times New Roman" w:hAnsi="Times New Roman"/>
                <w:b/>
                <w:sz w:val="18"/>
              </w:rPr>
              <w:t>Trial</w:t>
            </w:r>
          </w:p>
        </w:tc>
        <w:tc>
          <w:tcPr>
            <w:tcW w:type="dxa" w:w="2491"/>
            <w:vAlign w:val="center"/>
            <w:shd w:fill="EAF0F4" w:val="clear"/>
          </w:tcPr>
          <w:p>
            <w:pPr>
              <w:keepNext/>
              <w:spacing w:line="252" w:lineRule="auto" w:after="20" w:before="20"/>
              <w:suppressLineNumbers/>
            </w:pPr>
            <w:r>
              <w:rPr>
                <w:rFonts w:ascii="Times New Roman" w:hAnsi="Times New Roman"/>
                <w:b/>
                <w:sz w:val="18"/>
              </w:rPr>
              <w:t>Provenance</w:t>
            </w:r>
          </w:p>
        </w:tc>
        <w:tc>
          <w:tcPr>
            <w:tcW w:type="dxa" w:w="1059"/>
            <w:vAlign w:val="center"/>
            <w:shd w:fill="EAF0F4" w:val="clear"/>
          </w:tcPr>
          <w:p>
            <w:pPr>
              <w:keepNext/>
              <w:spacing w:line="252" w:lineRule="auto" w:after="20" w:before="20"/>
              <w:suppressLineNumbers/>
            </w:pPr>
            <w:r>
              <w:rPr>
                <w:rFonts w:ascii="Times New Roman" w:hAnsi="Times New Roman"/>
                <w:b/>
                <w:sz w:val="18"/>
              </w:rPr>
              <w:t>n/events</w:t>
            </w:r>
          </w:p>
        </w:tc>
        <w:tc>
          <w:tcPr>
            <w:tcW w:type="dxa" w:w="1308"/>
            <w:vAlign w:val="center"/>
            <w:shd w:fill="EAF0F4" w:val="clear"/>
          </w:tcPr>
          <w:p>
            <w:pPr>
              <w:keepNext/>
              <w:spacing w:line="252" w:lineRule="auto" w:after="20" w:before="20"/>
              <w:suppressLineNumbers/>
            </w:pPr>
            <w:r>
              <w:rPr>
                <w:rFonts w:ascii="Times New Roman" w:hAnsi="Times New Roman"/>
                <w:b/>
                <w:sz w:val="18"/>
              </w:rPr>
              <w:t>Coverage</w:t>
            </w:r>
          </w:p>
        </w:tc>
        <w:tc>
          <w:tcPr>
            <w:tcW w:type="dxa" w:w="2926"/>
            <w:vAlign w:val="center"/>
            <w:shd w:fill="EAF0F4" w:val="clear"/>
          </w:tcPr>
          <w:p>
            <w:pPr>
              <w:keepNext/>
              <w:spacing w:line="252" w:lineRule="auto" w:after="20" w:before="20"/>
              <w:suppressLineNumbers/>
            </w:pPr>
            <w:r>
              <w:rPr>
                <w:rFonts w:ascii="Times New Roman" w:hAnsi="Times New Roman"/>
                <w:b/>
                <w:sz w:val="18"/>
              </w:rPr>
              <w:t>Standardization</w:t>
            </w:r>
          </w:p>
        </w:tc>
        <w:tc>
          <w:tcPr>
            <w:tcW w:type="dxa" w:w="3736"/>
            <w:vAlign w:val="center"/>
            <w:shd w:fill="EAF0F4" w:val="clear"/>
          </w:tcPr>
          <w:p>
            <w:pPr>
              <w:keepNext/>
              <w:spacing w:line="252" w:lineRule="auto" w:after="20" w:before="20"/>
              <w:suppressLineNumbers/>
            </w:pPr>
            <w:r>
              <w:rPr>
                <w:rFonts w:ascii="Times New Roman" w:hAnsi="Times New Roman"/>
                <w:b/>
                <w:sz w:val="18"/>
              </w:rPr>
              <w:t>T=1 minus T=0</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HER2_01</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HER2_02</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HER2_03</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HER2_04</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HER2_05</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HER2_06</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HER2_07</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HER2_08</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HER2_09</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HER2_10</w:t>
            </w:r>
          </w:p>
        </w:tc>
        <w:tc>
          <w:tcPr>
            <w:tcW w:type="dxa" w:w="1806"/>
            <w:vAlign w:val="center"/>
          </w:tcPr>
          <w:p>
            <w:pPr>
              <w:keepNext w:val="0"/>
              <w:spacing w:line="252" w:lineRule="auto" w:after="20" w:before="20"/>
              <w:suppressLineNumbers/>
            </w:pPr>
            <w:r>
              <w:rPr>
                <w:rFonts w:ascii="Times New Roman" w:hAnsi="Times New Roman"/>
                <w:b w:val="0"/>
                <w:sz w:val="18"/>
              </w:rPr>
              <w:t>TRIO-US B07</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81/40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T1:Arm3 trastuzumab+lapatinib; T0:Arm1 trastuzumab; common protocol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HER2_01</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238/263</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HER2_02</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20/23</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HER2_03</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10/11</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HER2_04</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141/141</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HER2_05</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12/12</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HER2_06</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3/3</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HER2_07</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11/13</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HER2_08</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137/141</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HER2_09</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47/50</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HER2_10</w:t>
            </w:r>
          </w:p>
        </w:tc>
        <w:tc>
          <w:tcPr>
            <w:tcW w:type="dxa" w:w="1806"/>
            <w:vAlign w:val="center"/>
          </w:tcPr>
          <w:p>
            <w:pPr>
              <w:keepNext w:val="0"/>
              <w:spacing w:line="252" w:lineRule="auto" w:after="20" w:before="20"/>
              <w:suppressLineNumbers/>
            </w:pPr>
            <w:r>
              <w:rPr>
                <w:rFonts w:ascii="Times New Roman" w:hAnsi="Times New Roman"/>
                <w:b w:val="0"/>
                <w:sz w:val="18"/>
              </w:rPr>
              <w:t>CHER-LOB</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57/19</w:t>
            </w:r>
          </w:p>
        </w:tc>
        <w:tc>
          <w:tcPr>
            <w:tcW w:type="dxa" w:w="1308"/>
            <w:vAlign w:val="center"/>
          </w:tcPr>
          <w:p>
            <w:pPr>
              <w:keepNext w:val="0"/>
              <w:spacing w:line="252" w:lineRule="auto" w:after="20" w:before="20"/>
              <w:suppressLineNumbers/>
              <w:jc w:val="center"/>
            </w:pPr>
            <w:r>
              <w:rPr>
                <w:rFonts w:ascii="Times New Roman" w:hAnsi="Times New Roman"/>
                <w:b w:val="0"/>
                <w:sz w:val="18"/>
              </w:rPr>
              <w:t>65/68</w:t>
            </w:r>
          </w:p>
        </w:tc>
        <w:tc>
          <w:tcPr>
            <w:tcW w:type="dxa" w:w="2926"/>
            <w:vAlign w:val="center"/>
          </w:tcPr>
          <w:p>
            <w:pPr>
              <w:keepNext w:val="0"/>
              <w:spacing w:line="252" w:lineRule="auto" w:after="20" w:before="20"/>
              <w:suppressLineNumbers/>
            </w:pPr>
            <w:r>
              <w:rPr>
                <w:rFonts w:ascii="Times New Roman" w:hAnsi="Times New Roman"/>
                <w:b w:val="0"/>
                <w:sz w:val="18"/>
              </w:rPr>
              <w:t>pooled A/C analytic sample z; ddof=1</w:t>
            </w:r>
          </w:p>
        </w:tc>
        <w:tc>
          <w:tcPr>
            <w:tcW w:type="dxa" w:w="3736"/>
            <w:vAlign w:val="center"/>
          </w:tcPr>
          <w:p>
            <w:pPr>
              <w:keepNext w:val="0"/>
              <w:spacing w:line="252" w:lineRule="auto" w:after="20" w:before="20"/>
              <w:suppressLineNumbers/>
            </w:pPr>
            <w:r>
              <w:rPr>
                <w:rFonts w:ascii="Times New Roman" w:hAnsi="Times New Roman"/>
                <w:b w:val="0"/>
                <w:sz w:val="18"/>
              </w:rPr>
              <w:t>T1:C trastuzumab+lapatinib; T0:A trastuzumab; common trial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GBM_01</w:t>
            </w:r>
          </w:p>
        </w:tc>
        <w:tc>
          <w:tcPr>
            <w:tcW w:type="dxa" w:w="1806"/>
            <w:vAlign w:val="center"/>
          </w:tcPr>
          <w:p>
            <w:pPr>
              <w:keepNext w:val="0"/>
              <w:spacing w:line="252" w:lineRule="auto" w:after="20" w:before="20"/>
              <w:suppressLineNumbers/>
            </w:pPr>
            <w:r>
              <w:rPr>
                <w:rFonts w:ascii="Times New Roman" w:hAnsi="Times New Roman"/>
                <w:b w:val="0"/>
                <w:sz w:val="18"/>
              </w:rPr>
              <w:t>AVAglio</w:t>
            </w:r>
          </w:p>
        </w:tc>
        <w:tc>
          <w:tcPr>
            <w:tcW w:type="dxa" w:w="2491"/>
            <w:vAlign w:val="center"/>
          </w:tcPr>
          <w:p>
            <w:pPr>
              <w:keepNext w:val="0"/>
              <w:spacing w:line="252" w:lineRule="auto" w:after="20" w:before="20"/>
              <w:suppressLineNumbers/>
            </w:pPr>
            <w:r>
              <w:rPr>
                <w:rFonts w:ascii="Times New Roman" w:hAnsi="Times New Roman"/>
                <w:b w:val="0"/>
                <w:sz w:val="18"/>
              </w:rPr>
              <w:t>DEPOSITED LABEL REUSED</w:t>
            </w:r>
          </w:p>
        </w:tc>
        <w:tc>
          <w:tcPr>
            <w:tcW w:type="dxa" w:w="1059"/>
            <w:vAlign w:val="center"/>
          </w:tcPr>
          <w:p>
            <w:pPr>
              <w:keepNext w:val="0"/>
              <w:spacing w:line="252" w:lineRule="auto" w:after="20" w:before="20"/>
              <w:suppressLineNumbers/>
              <w:jc w:val="center"/>
            </w:pPr>
            <w:r>
              <w:rPr>
                <w:rFonts w:ascii="Times New Roman" w:hAnsi="Times New Roman"/>
                <w:b w:val="0"/>
                <w:sz w:val="18"/>
              </w:rPr>
              <w:t>349/270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binary proneural=1, other deposited labels=0; no z-standardization</w:t>
            </w:r>
          </w:p>
        </w:tc>
        <w:tc>
          <w:tcPr>
            <w:tcW w:type="dxa" w:w="3736"/>
            <w:vAlign w:val="center"/>
          </w:tcPr>
          <w:p>
            <w:pPr>
              <w:keepNext w:val="0"/>
              <w:spacing w:line="252" w:lineRule="auto" w:after="20" w:before="20"/>
              <w:suppressLineNumbers/>
            </w:pPr>
            <w:r>
              <w:rPr>
                <w:rFonts w:ascii="Times New Roman" w:hAnsi="Times New Roman"/>
                <w:b w:val="0"/>
                <w:sz w:val="18"/>
              </w:rPr>
              <w:t>T1:bevacizumab+RT/TMZ; T0:placebo+RT/TMZ</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GBM_02</w:t>
            </w:r>
          </w:p>
        </w:tc>
        <w:tc>
          <w:tcPr>
            <w:tcW w:type="dxa" w:w="1806"/>
            <w:vAlign w:val="center"/>
          </w:tcPr>
          <w:p>
            <w:pPr>
              <w:keepNext w:val="0"/>
              <w:spacing w:line="252" w:lineRule="auto" w:after="20" w:before="20"/>
              <w:suppressLineNumbers/>
            </w:pPr>
            <w:r>
              <w:rPr>
                <w:rFonts w:ascii="Times New Roman" w:hAnsi="Times New Roman"/>
                <w:b w:val="0"/>
                <w:sz w:val="18"/>
              </w:rPr>
              <w:t>AVAglio</w:t>
            </w:r>
          </w:p>
        </w:tc>
        <w:tc>
          <w:tcPr>
            <w:tcW w:type="dxa" w:w="2491"/>
            <w:vAlign w:val="center"/>
          </w:tcPr>
          <w:p>
            <w:pPr>
              <w:keepNext w:val="0"/>
              <w:spacing w:line="252" w:lineRule="auto" w:after="20" w:before="20"/>
              <w:suppressLineNumbers/>
            </w:pPr>
            <w:r>
              <w:rPr>
                <w:rFonts w:ascii="Times New Roman" w:hAnsi="Times New Roman"/>
                <w:b w:val="0"/>
                <w:sz w:val="18"/>
              </w:rPr>
              <w:t>DEPOSITED LABEL REUSED</w:t>
            </w:r>
          </w:p>
        </w:tc>
        <w:tc>
          <w:tcPr>
            <w:tcW w:type="dxa" w:w="1059"/>
            <w:vAlign w:val="center"/>
          </w:tcPr>
          <w:p>
            <w:pPr>
              <w:keepNext w:val="0"/>
              <w:spacing w:line="252" w:lineRule="auto" w:after="20" w:before="20"/>
              <w:suppressLineNumbers/>
              <w:jc w:val="center"/>
            </w:pPr>
            <w:r>
              <w:rPr>
                <w:rFonts w:ascii="Times New Roman" w:hAnsi="Times New Roman"/>
                <w:b w:val="0"/>
                <w:sz w:val="18"/>
              </w:rPr>
              <w:t>349/270</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binary proneural=1, other deposited labels=0; no z-standardization</w:t>
            </w:r>
          </w:p>
        </w:tc>
        <w:tc>
          <w:tcPr>
            <w:tcW w:type="dxa" w:w="3736"/>
            <w:vAlign w:val="center"/>
          </w:tcPr>
          <w:p>
            <w:pPr>
              <w:keepNext w:val="0"/>
              <w:spacing w:line="252" w:lineRule="auto" w:after="20" w:before="20"/>
              <w:suppressLineNumbers/>
            </w:pPr>
            <w:r>
              <w:rPr>
                <w:rFonts w:ascii="Times New Roman" w:hAnsi="Times New Roman"/>
                <w:b w:val="0"/>
                <w:sz w:val="18"/>
              </w:rPr>
              <w:t>T1:bevacizumab+RT/TMZ; T0:placebo+RT/TMZ</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GBM_01</w:t>
            </w:r>
          </w:p>
        </w:tc>
        <w:tc>
          <w:tcPr>
            <w:tcW w:type="dxa" w:w="1806"/>
            <w:vAlign w:val="center"/>
          </w:tcPr>
          <w:p>
            <w:pPr>
              <w:keepNext w:val="0"/>
              <w:spacing w:line="252" w:lineRule="auto" w:after="20" w:before="20"/>
              <w:suppressLineNumbers/>
            </w:pPr>
            <w:r>
              <w:rPr>
                <w:rFonts w:ascii="Times New Roman" w:hAnsi="Times New Roman"/>
                <w:b w:val="0"/>
                <w:sz w:val="18"/>
              </w:rPr>
              <w:t>GLARIUS</w:t>
            </w:r>
          </w:p>
        </w:tc>
        <w:tc>
          <w:tcPr>
            <w:tcW w:type="dxa" w:w="2491"/>
            <w:vAlign w:val="center"/>
          </w:tcPr>
          <w:p>
            <w:pPr>
              <w:keepNext w:val="0"/>
              <w:spacing w:line="252" w:lineRule="auto" w:after="20" w:before="20"/>
              <w:suppressLineNumbers/>
            </w:pPr>
            <w:r>
              <w:rPr>
                <w:rFonts w:ascii="Times New Roman" w:hAnsi="Times New Roman"/>
                <w:b w:val="0"/>
                <w:sz w:val="18"/>
              </w:rPr>
              <w:t>DEPOSITED LABEL REUSED</w:t>
            </w:r>
          </w:p>
        </w:tc>
        <w:tc>
          <w:tcPr>
            <w:tcW w:type="dxa" w:w="1059"/>
            <w:vAlign w:val="center"/>
          </w:tcPr>
          <w:p>
            <w:pPr>
              <w:keepNext w:val="0"/>
              <w:spacing w:line="252" w:lineRule="auto" w:after="20" w:before="20"/>
              <w:suppressLineNumbers/>
              <w:jc w:val="center"/>
            </w:pPr>
            <w:r>
              <w:rPr>
                <w:rFonts w:ascii="Times New Roman" w:hAnsi="Times New Roman"/>
                <w:b w:val="0"/>
                <w:sz w:val="18"/>
              </w:rPr>
              <w:t>123/108</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binary proneural=1, other deposited labels=0; no z-standardization</w:t>
            </w:r>
          </w:p>
        </w:tc>
        <w:tc>
          <w:tcPr>
            <w:tcW w:type="dxa" w:w="3736"/>
            <w:vAlign w:val="center"/>
          </w:tcPr>
          <w:p>
            <w:pPr>
              <w:keepNext w:val="0"/>
              <w:spacing w:line="252" w:lineRule="auto" w:after="20" w:before="20"/>
              <w:suppressLineNumbers/>
            </w:pPr>
            <w:r>
              <w:rPr>
                <w:rFonts w:ascii="Times New Roman" w:hAnsi="Times New Roman"/>
                <w:b w:val="0"/>
                <w:sz w:val="18"/>
              </w:rPr>
              <w:t>T1:bevacizumab+irinotecan regimen; T0:temozolomide regimen; shared radiotherapy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GBM_02</w:t>
            </w:r>
          </w:p>
        </w:tc>
        <w:tc>
          <w:tcPr>
            <w:tcW w:type="dxa" w:w="1806"/>
            <w:vAlign w:val="center"/>
          </w:tcPr>
          <w:p>
            <w:pPr>
              <w:keepNext w:val="0"/>
              <w:spacing w:line="252" w:lineRule="auto" w:after="20" w:before="20"/>
              <w:suppressLineNumbers/>
            </w:pPr>
            <w:r>
              <w:rPr>
                <w:rFonts w:ascii="Times New Roman" w:hAnsi="Times New Roman"/>
                <w:b w:val="0"/>
                <w:sz w:val="18"/>
              </w:rPr>
              <w:t>GLARIUS</w:t>
            </w:r>
          </w:p>
        </w:tc>
        <w:tc>
          <w:tcPr>
            <w:tcW w:type="dxa" w:w="2491"/>
            <w:vAlign w:val="center"/>
          </w:tcPr>
          <w:p>
            <w:pPr>
              <w:keepNext w:val="0"/>
              <w:spacing w:line="252" w:lineRule="auto" w:after="20" w:before="20"/>
              <w:suppressLineNumbers/>
            </w:pPr>
            <w:r>
              <w:rPr>
                <w:rFonts w:ascii="Times New Roman" w:hAnsi="Times New Roman"/>
                <w:b w:val="0"/>
                <w:sz w:val="18"/>
              </w:rPr>
              <w:t>DEPOSITED LABEL REUSED</w:t>
            </w:r>
          </w:p>
        </w:tc>
        <w:tc>
          <w:tcPr>
            <w:tcW w:type="dxa" w:w="1059"/>
            <w:vAlign w:val="center"/>
          </w:tcPr>
          <w:p>
            <w:pPr>
              <w:keepNext w:val="0"/>
              <w:spacing w:line="252" w:lineRule="auto" w:after="20" w:before="20"/>
              <w:suppressLineNumbers/>
              <w:jc w:val="center"/>
            </w:pPr>
            <w:r>
              <w:rPr>
                <w:rFonts w:ascii="Times New Roman" w:hAnsi="Times New Roman"/>
                <w:b w:val="0"/>
                <w:sz w:val="18"/>
              </w:rPr>
              <w:t>123/108</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binary proneural=1, other deposited labels=0; no z-standardization</w:t>
            </w:r>
          </w:p>
        </w:tc>
        <w:tc>
          <w:tcPr>
            <w:tcW w:type="dxa" w:w="3736"/>
            <w:vAlign w:val="center"/>
          </w:tcPr>
          <w:p>
            <w:pPr>
              <w:keepNext w:val="0"/>
              <w:spacing w:line="252" w:lineRule="auto" w:after="20" w:before="20"/>
              <w:suppressLineNumbers/>
            </w:pPr>
            <w:r>
              <w:rPr>
                <w:rFonts w:ascii="Times New Roman" w:hAnsi="Times New Roman"/>
                <w:b w:val="0"/>
                <w:sz w:val="18"/>
              </w:rPr>
              <w:t>T1:bevacizumab+irinotecan regimen; T0:temozolomide regimen; shared radiotherapy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TNBC_01</w:t>
            </w:r>
          </w:p>
        </w:tc>
        <w:tc>
          <w:tcPr>
            <w:tcW w:type="dxa" w:w="1806"/>
            <w:vAlign w:val="center"/>
          </w:tcPr>
          <w:p>
            <w:pPr>
              <w:keepNext w:val="0"/>
              <w:spacing w:line="252" w:lineRule="auto" w:after="20" w:before="20"/>
              <w:suppressLineNumbers/>
            </w:pPr>
            <w:r>
              <w:rPr>
                <w:rFonts w:ascii="Times New Roman" w:hAnsi="Times New Roman"/>
                <w:b w:val="0"/>
                <w:sz w:val="18"/>
              </w:rPr>
              <w:t>BrighTNess</w:t>
            </w:r>
          </w:p>
        </w:tc>
        <w:tc>
          <w:tcPr>
            <w:tcW w:type="dxa" w:w="2491"/>
            <w:vAlign w:val="center"/>
          </w:tcPr>
          <w:p>
            <w:pPr>
              <w:keepNext w:val="0"/>
              <w:spacing w:line="252" w:lineRule="auto" w:after="20" w:before="20"/>
              <w:suppressLineNumbers/>
            </w:pPr>
            <w:r>
              <w:rPr>
                <w:rFonts w:ascii="Times New Roman" w:hAnsi="Times New Roman"/>
                <w:b w:val="0"/>
                <w:sz w:val="18"/>
              </w:rPr>
              <w:t>LOCAL AVAILABLE GENE MEAN</w:t>
            </w:r>
          </w:p>
        </w:tc>
        <w:tc>
          <w:tcPr>
            <w:tcW w:type="dxa" w:w="1059"/>
            <w:vAlign w:val="center"/>
          </w:tcPr>
          <w:p>
            <w:pPr>
              <w:keepNext w:val="0"/>
              <w:spacing w:line="252" w:lineRule="auto" w:after="20" w:before="20"/>
              <w:suppressLineNumbers/>
              <w:jc w:val="center"/>
            </w:pPr>
            <w:r>
              <w:rPr>
                <w:rFonts w:ascii="Times New Roman" w:hAnsi="Times New Roman"/>
                <w:b w:val="0"/>
                <w:sz w:val="18"/>
              </w:rPr>
              <w:t>245/109</w:t>
            </w:r>
          </w:p>
        </w:tc>
        <w:tc>
          <w:tcPr>
            <w:tcW w:type="dxa" w:w="1308"/>
            <w:vAlign w:val="center"/>
          </w:tcPr>
          <w:p>
            <w:pPr>
              <w:keepNext w:val="0"/>
              <w:spacing w:line="252" w:lineRule="auto" w:after="20" w:before="20"/>
              <w:suppressLineNumbers/>
              <w:jc w:val="center"/>
            </w:pPr>
            <w:r>
              <w:rPr>
                <w:rFonts w:ascii="Times New Roman" w:hAnsi="Times New Roman"/>
                <w:b w:val="0"/>
                <w:sz w:val="18"/>
              </w:rPr>
              <w:t>11/14</w:t>
            </w:r>
          </w:p>
        </w:tc>
        <w:tc>
          <w:tcPr>
            <w:tcW w:type="dxa" w:w="2926"/>
            <w:vAlign w:val="center"/>
          </w:tcPr>
          <w:p>
            <w:pPr>
              <w:keepNext w:val="0"/>
              <w:spacing w:line="252" w:lineRule="auto" w:after="20" w:before="20"/>
              <w:suppressLineNumbers/>
            </w:pPr>
            <w:r>
              <w:rPr>
                <w:rFonts w:ascii="Times New Roman" w:hAnsi="Times New Roman"/>
                <w:b w:val="0"/>
                <w:sz w:val="18"/>
              </w:rPr>
              <w:t>pooled B/C z; ddof=0</w:t>
            </w:r>
          </w:p>
        </w:tc>
        <w:tc>
          <w:tcPr>
            <w:tcW w:type="dxa" w:w="3736"/>
            <w:vAlign w:val="center"/>
          </w:tcPr>
          <w:p>
            <w:pPr>
              <w:keepNext w:val="0"/>
              <w:spacing w:line="252" w:lineRule="auto" w:after="20" w:before="20"/>
              <w:suppressLineNumbers/>
            </w:pPr>
            <w:r>
              <w:rPr>
                <w:rFonts w:ascii="Times New Roman" w:hAnsi="Times New Roman"/>
                <w:b w:val="0"/>
                <w:sz w:val="18"/>
              </w:rPr>
              <w:t>T1:B carboplatin+paclitaxel; T0:C paclitaxel; subsequent common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TNBC_04</w:t>
            </w:r>
          </w:p>
        </w:tc>
        <w:tc>
          <w:tcPr>
            <w:tcW w:type="dxa" w:w="1806"/>
            <w:vAlign w:val="center"/>
          </w:tcPr>
          <w:p>
            <w:pPr>
              <w:keepNext w:val="0"/>
              <w:spacing w:line="252" w:lineRule="auto" w:after="20" w:before="20"/>
              <w:suppressLineNumbers/>
            </w:pPr>
            <w:r>
              <w:rPr>
                <w:rFonts w:ascii="Times New Roman" w:hAnsi="Times New Roman"/>
                <w:b w:val="0"/>
                <w:sz w:val="18"/>
              </w:rPr>
              <w:t>BrighTNess</w:t>
            </w:r>
          </w:p>
        </w:tc>
        <w:tc>
          <w:tcPr>
            <w:tcW w:type="dxa" w:w="2491"/>
            <w:vAlign w:val="center"/>
          </w:tcPr>
          <w:p>
            <w:pPr>
              <w:keepNext w:val="0"/>
              <w:spacing w:line="252" w:lineRule="auto" w:after="20" w:before="20"/>
              <w:suppressLineNumbers/>
            </w:pPr>
            <w:r>
              <w:rPr>
                <w:rFonts w:ascii="Times New Roman" w:hAnsi="Times New Roman"/>
                <w:b w:val="0"/>
                <w:sz w:val="18"/>
              </w:rPr>
              <w:t>LOCAL SOURCE COMPATIBLE SCORE</w:t>
            </w:r>
          </w:p>
        </w:tc>
        <w:tc>
          <w:tcPr>
            <w:tcW w:type="dxa" w:w="1059"/>
            <w:vAlign w:val="center"/>
          </w:tcPr>
          <w:p>
            <w:pPr>
              <w:keepNext w:val="0"/>
              <w:spacing w:line="252" w:lineRule="auto" w:after="20" w:before="20"/>
              <w:suppressLineNumbers/>
              <w:jc w:val="center"/>
            </w:pPr>
            <w:r>
              <w:rPr>
                <w:rFonts w:ascii="Times New Roman" w:hAnsi="Times New Roman"/>
                <w:b w:val="0"/>
                <w:sz w:val="18"/>
              </w:rPr>
              <w:t>360/167</w:t>
            </w:r>
          </w:p>
        </w:tc>
        <w:tc>
          <w:tcPr>
            <w:tcW w:type="dxa" w:w="1308"/>
            <w:vAlign w:val="center"/>
          </w:tcPr>
          <w:p>
            <w:pPr>
              <w:keepNext w:val="0"/>
              <w:spacing w:line="252" w:lineRule="auto" w:after="20" w:before="20"/>
              <w:suppressLineNumbers/>
              <w:jc w:val="center"/>
            </w:pPr>
            <w:r>
              <w:rPr>
                <w:rFonts w:ascii="Times New Roman" w:hAnsi="Times New Roman"/>
                <w:b w:val="0"/>
                <w:sz w:val="18"/>
              </w:rPr>
              <w:t>70/70</w:t>
            </w:r>
          </w:p>
        </w:tc>
        <w:tc>
          <w:tcPr>
            <w:tcW w:type="dxa" w:w="2926"/>
            <w:vAlign w:val="center"/>
          </w:tcPr>
          <w:p>
            <w:pPr>
              <w:keepNext w:val="0"/>
              <w:spacing w:line="252" w:lineRule="auto" w:after="20" w:before="20"/>
              <w:suppressLineNumbers/>
            </w:pPr>
            <w:r>
              <w:rPr>
                <w:rFonts w:ascii="Times New Roman" w:hAnsi="Times New Roman"/>
                <w:b w:val="0"/>
                <w:sz w:val="18"/>
              </w:rPr>
              <w:t>pooled A/C z; ddof=1</w:t>
            </w:r>
          </w:p>
        </w:tc>
        <w:tc>
          <w:tcPr>
            <w:tcW w:type="dxa" w:w="3736"/>
            <w:vAlign w:val="center"/>
          </w:tcPr>
          <w:p>
            <w:pPr>
              <w:keepNext w:val="0"/>
              <w:spacing w:line="252" w:lineRule="auto" w:after="20" w:before="20"/>
              <w:suppressLineNumbers/>
            </w:pPr>
            <w:r>
              <w:rPr>
                <w:rFonts w:ascii="Times New Roman" w:hAnsi="Times New Roman"/>
                <w:b w:val="0"/>
                <w:sz w:val="18"/>
              </w:rPr>
              <w:t>T1:A veliparib+carboplatin+paclitaxel; T0:C paclitaxel; subsequent common chemotherapy</w:t>
            </w:r>
          </w:p>
        </w:tc>
      </w:tr>
      <w:tr>
        <w:trPr>
          <w:cantSplit/>
        </w:trPr>
        <w:tc>
          <w:tcPr>
            <w:tcW w:type="dxa" w:w="1245"/>
            <w:vAlign w:val="center"/>
          </w:tcPr>
          <w:p>
            <w:pPr>
              <w:keepNext w:val="0"/>
              <w:spacing w:line="252" w:lineRule="auto" w:after="20" w:before="20"/>
              <w:suppressLineNumbers/>
            </w:pPr>
            <w:r>
              <w:rPr>
                <w:rFonts w:ascii="Times New Roman" w:hAnsi="Times New Roman"/>
                <w:b w:val="0"/>
                <w:sz w:val="18"/>
              </w:rPr>
              <w:t>TNBC_03</w:t>
            </w:r>
          </w:p>
        </w:tc>
        <w:tc>
          <w:tcPr>
            <w:tcW w:type="dxa" w:w="1806"/>
            <w:vAlign w:val="center"/>
          </w:tcPr>
          <w:p>
            <w:pPr>
              <w:keepNext w:val="0"/>
              <w:spacing w:line="252" w:lineRule="auto" w:after="20" w:before="20"/>
              <w:suppressLineNumbers/>
            </w:pPr>
            <w:r>
              <w:rPr>
                <w:rFonts w:ascii="Times New Roman" w:hAnsi="Times New Roman"/>
                <w:b w:val="0"/>
                <w:sz w:val="18"/>
              </w:rPr>
              <w:t>I-SPY2 DOP / GSE173839</w:t>
            </w:r>
          </w:p>
        </w:tc>
        <w:tc>
          <w:tcPr>
            <w:tcW w:type="dxa" w:w="2491"/>
            <w:vAlign w:val="center"/>
          </w:tcPr>
          <w:p>
            <w:pPr>
              <w:keepNext w:val="0"/>
              <w:spacing w:line="252" w:lineRule="auto" w:after="20" w:before="20"/>
              <w:suppressLineNumbers/>
            </w:pPr>
            <w:r>
              <w:rPr>
                <w:rFonts w:ascii="Times New Roman" w:hAnsi="Times New Roman"/>
                <w:b w:val="0"/>
                <w:sz w:val="18"/>
              </w:rPr>
              <w:t>AUTHOR SCORE REUSED</w:t>
            </w:r>
          </w:p>
        </w:tc>
        <w:tc>
          <w:tcPr>
            <w:tcW w:type="dxa" w:w="1059"/>
            <w:vAlign w:val="center"/>
          </w:tcPr>
          <w:p>
            <w:pPr>
              <w:keepNext w:val="0"/>
              <w:spacing w:line="252" w:lineRule="auto" w:after="20" w:before="20"/>
              <w:suppressLineNumbers/>
              <w:jc w:val="center"/>
            </w:pPr>
            <w:r>
              <w:rPr>
                <w:rFonts w:ascii="Times New Roman" w:hAnsi="Times New Roman"/>
                <w:b w:val="0"/>
                <w:sz w:val="18"/>
              </w:rPr>
              <w:t>100/36</w:t>
            </w:r>
          </w:p>
        </w:tc>
        <w:tc>
          <w:tcPr>
            <w:tcW w:type="dxa" w:w="1308"/>
            <w:vAlign w:val="center"/>
          </w:tcPr>
          <w:p>
            <w:pPr>
              <w:keepNext w:val="0"/>
              <w:spacing w:line="252" w:lineRule="auto" w:after="20" w:before="20"/>
              <w:suppressLineNumbers/>
            </w:pPr>
            <w:r>
              <w:rPr>
                <w:rFonts w:ascii="Times New Roman" w:hAnsi="Times New Roman"/>
                <w:b w:val="0"/>
                <w:sz w:val="18"/>
              </w:rPr>
              <w:t>Not asserted for reused score/label</w:t>
            </w:r>
          </w:p>
        </w:tc>
        <w:tc>
          <w:tcPr>
            <w:tcW w:type="dxa" w:w="2926"/>
            <w:vAlign w:val="center"/>
          </w:tcPr>
          <w:p>
            <w:pPr>
              <w:keepNext w:val="0"/>
              <w:spacing w:line="252" w:lineRule="auto" w:after="20" w:before="20"/>
              <w:suppressLineNumbers/>
            </w:pPr>
            <w:r>
              <w:rPr>
                <w:rFonts w:ascii="Times New Roman" w:hAnsi="Times New Roman"/>
                <w:b w:val="0"/>
                <w:sz w:val="18"/>
              </w:rPr>
              <w:t>pooled known-pCR records z; ddof=0</w:t>
            </w:r>
          </w:p>
        </w:tc>
        <w:tc>
          <w:tcPr>
            <w:tcW w:type="dxa" w:w="3736"/>
            <w:vAlign w:val="center"/>
          </w:tcPr>
          <w:p>
            <w:pPr>
              <w:keepNext w:val="0"/>
              <w:spacing w:line="252" w:lineRule="auto" w:after="20" w:before="20"/>
              <w:suppressLineNumbers/>
            </w:pPr>
            <w:r>
              <w:rPr>
                <w:rFonts w:ascii="Times New Roman" w:hAnsi="Times New Roman"/>
                <w:b w:val="0"/>
                <w:sz w:val="18"/>
              </w:rPr>
              <w:t>T1:durvalumab+olaparib+paclitaxel; T0:FFPE control paclitaxel; subsequent common AC</w:t>
            </w:r>
          </w:p>
        </w:tc>
      </w:tr>
    </w:tbl>
    <w:p>
      <w:pPr>
        <w:spacing w:after="40" w:line="240" w:lineRule="auto"/>
      </w:pPr>
    </w:p>
    <w:p>
      <w:pPr>
        <w:keepLines/>
        <w:spacing w:line="264" w:lineRule="auto" w:after="140"/>
      </w:pPr>
      <w:r>
        <w:rPr>
          <w:rFonts w:ascii="Times New Roman" w:hAnsi="Times New Roman"/>
          <w:b w:val="0"/>
          <w:sz w:val="20"/>
        </w:rPr>
        <w:t>These 27 contexts link to 15 objects. Ten TRIO and ten CHER-LOB contexts share ten object IDs, but have different implementation pathways. CHER-LOB input/loader identity is confirmed while final generation lineage remains incompletely recovered. Coverage denotes mapped available genes, not certification of normalization, calibration or whole-assay equivalence. Blank coverage for score or label reuse is not zero coverage. Historical AVAglio rows refer to A0. Actual input hashes, loader identity, limits and unchanged historical fidelity records are retained in the local-review Additional file 1B. Local paths in that file require removal before any future public release. Seven source-only objects have no local fits.</w:t>
      </w:r>
    </w:p>
    <w:sectPr w:rsidR="00FC693F" w:rsidRPr="0006063C" w:rsidSect="00034616">
      <w:pgSz w:w="16838" w:h="11906" w:orient="landscape"/>
      <w:pgMar w:top="1020" w:right="1134" w:bottom="1020" w:left="1134" w:header="510" w:footer="567" w:gutter="0"/>
      <w:cols w:space="720"/>
      <w:docGrid w:linePitch="360"/>
      <w:lnNumType w:countBy="1" w:start="1" w:restart="continuous" w:distance="1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80"/>
    </w:pPr>
    <w:rPr>
      <w:rFonts w:ascii="Times New Roman" w:hAnsi="Times New Roman" w:eastAsia="SimSu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6" w:lineRule="auto"/>
      <w:outlineLvl w:val="0"/>
    </w:pPr>
    <w:rPr>
      <w:rFonts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76" w:lineRule="auto" w:before="200"/>
      <w:contextualSpacing/>
    </w:pPr>
    <w:rPr>
      <w:rFonts w:ascii="Times New Roman" w:hAnsi="Times New Roman" w:eastAsia="SimSu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40"/>
    </w:pPr>
    <w:rPr>
      <w:rFonts w:ascii="Times New Roman" w:hAnsi="Times New Roman" w:eastAsia="SimSu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RPv5 supplementary material</dc:title>
  <dc:subject>Author-review candidate; eight declarations remain pending; not approved for submission</dc:subject>
  <dc:creator>Zhi Chen; Teng Qi</dc:creator>
  <cp:keywords/>
  <dc:description>Research-resource candidate; individual contribution roles not yet documented. Not submitted to a journal.</dc:description>
  <cp:lastModifiedBy>Zhi Chen; Teng Qi</cp:lastModifiedBy>
  <cp:revision>1</cp:revision>
  <dcterms:created xsi:type="dcterms:W3CDTF">2013-12-23T23:15:00Z</dcterms:created>
  <dcterms:modified xsi:type="dcterms:W3CDTF">2013-12-23T23:15:00Z</dcterms:modified>
  <cp:category/>
</cp:coreProperties>
</file>