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Source-matched multi-signal colocalization resolves cross-resource immune-cell regulatory signal sharing in primary biliary cholangitis</w:t>
      </w:r>
    </w:p>
    <w:p>
      <w:pPr>
        <w:ind w:firstLine="0"/>
      </w:pPr>
      <w:r>
        <w:rPr>
          <w:b/>
        </w:rPr>
        <w:t>Article type:</w:t>
      </w:r>
      <w:r>
        <w:t xml:space="preserve"> Research</w:t>
      </w:r>
    </w:p>
    <w:p>
      <w:pPr>
        <w:ind w:firstLine="0"/>
      </w:pPr>
      <w:r>
        <w:rPr>
          <w:b/>
          <w:highlight w:val="yellow"/>
        </w:rPr>
        <w:t>Authors:</w:t>
      </w:r>
      <w:r>
        <w:rPr>
          <w:highlight w:val="yellow"/>
        </w:rPr>
        <w:t xml:space="preserve"> [FULL AUTHOR NAMES TO BE COMPLETED]</w:t>
      </w:r>
    </w:p>
    <w:p>
      <w:pPr>
        <w:ind w:firstLine="0"/>
      </w:pPr>
      <w:r>
        <w:rPr>
          <w:b/>
          <w:highlight w:val="yellow"/>
        </w:rPr>
        <w:t>Affiliations:</w:t>
      </w:r>
      <w:r>
        <w:rPr>
          <w:highlight w:val="yellow"/>
        </w:rPr>
        <w:t xml:space="preserve"> [NUMBERED INSTITUTIONAL ADDRESSES TO BE COMPLETED]</w:t>
      </w:r>
    </w:p>
    <w:p>
      <w:pPr>
        <w:ind w:firstLine="0"/>
      </w:pPr>
      <w:r>
        <w:rPr>
          <w:b/>
          <w:highlight w:val="yellow"/>
        </w:rPr>
        <w:t>Corresponding author:</w:t>
      </w:r>
      <w:r>
        <w:rPr>
          <w:highlight w:val="yellow"/>
        </w:rPr>
        <w:t xml:space="preserve"> [NAME, POSTAL ADDRESS, EMAIL, AND TELEPHONE TO BE COMPLETED]</w:t>
      </w:r>
    </w:p>
    <w:p>
      <w:pPr>
        <w:pStyle w:val="Heading1"/>
      </w:pPr>
      <w:r>
        <w:t>Abstract</w:t>
      </w:r>
    </w:p>
    <w:p>
      <w:pPr>
        <w:pStyle w:val="Heading2"/>
      </w:pPr>
      <w:r>
        <w:t>Background</w:t>
      </w:r>
    </w:p>
    <w:p>
      <w:r>
        <w:t>Primary biliary cholangitis (PBC) genome-wide association studies have identified many susceptibility loci, but assigning local genetic signals to genes and immune-cell contexts remains difficult when regions contain multiple association signals. We applied a prespecified, bounded analysis to three established non-HLA loci and nine gene-cell comparisons. European PBC summary statistics were paired with study-derived disease linkage disequilibrium (LD); OneK1K donor genotypes were used to construct cell-specific, covariate-residualized QTL LD; and single-causal screening was followed by SuSiE-RSS fine-mapping and signal-pair colocalization. Passing axes were evaluated in TenK10K and in a donor-level liver target panel.</w:t>
      </w:r>
    </w:p>
    <w:p>
      <w:pPr>
        <w:pStyle w:val="Heading2"/>
      </w:pPr>
      <w:r>
        <w:t>Results</w:t>
      </w:r>
    </w:p>
    <w:p>
      <w:r>
        <w:t>IL12RB2 showed stable PBC-eQTL signal sharing in NK cells across all OneK1K configurations (minimum default PP.H4=0.9980; minimum low-prior H4/[H3+H4]=0.9806) and was reproduced in TenK10K NK cells under a single-causal replication model (396 variants; default PP.H4=0.9975; low-prior H4/[H3+H4]=0.9760). FCRL3 showed stable sharing in intermediate B, memory B, naive CD4 T, NK, and resting NK cells. Its B-cell signal was reproduced in TenK10K intermediate B cells (343 variants; default PP.H4=0.9916; low-prior H4/[H3+H4]=0.9217). A favorable single-causal FCRL3 effector-T-cell result (PP.H4=0.9413) reversed after source-matched multi-signal analysis (minimum PP.H4=0.0036; PP.H3 approximately 0.992). INAVA remained uninformative because its OneK1K QTL was weak. Both target-lineage pairs were detectable in all five PBC and five control livers, but neither passed the two-target corrected enrichment threshold (both q=0.1111).</w:t>
      </w:r>
    </w:p>
    <w:p>
      <w:pPr>
        <w:pStyle w:val="Heading2"/>
      </w:pPr>
      <w:r>
        <w:t>Conclusions</w:t>
      </w:r>
    </w:p>
    <w:p>
      <w:r>
        <w:t>Established PBC loci support cross-resource IL12RB2-NK and FCRL3-B disease-eQTL signal sharing when source-matched LD and multiple local signals are modeled explicitly. Liver data support lineage detectability, but do not establish disease-specific expression enrichment, mediation, or causality.</w:t>
      </w:r>
    </w:p>
    <w:p>
      <w:pPr>
        <w:ind w:firstLine="0"/>
      </w:pPr>
      <w:r>
        <w:rPr>
          <w:b/>
        </w:rPr>
        <w:t>Keywords:</w:t>
      </w:r>
      <w:r>
        <w:t xml:space="preserve"> primary biliary cholangitis; colocalization; single-cell eQTL; linkage disequilibrium; SuSiE; FCRL3; IL12RB2; immune cells</w:t>
      </w:r>
    </w:p>
    <w:p>
      <w:pPr>
        <w:pStyle w:val="Heading1"/>
      </w:pPr>
      <w:r>
        <w:t>Background</w:t>
      </w:r>
    </w:p>
    <w:p>
      <w:r>
        <w:t>Primary biliary cholangitis (PBC) is a chronic autoimmune cholestatic liver disease in which immune-mediated injury to small intrahepatic bile ducts can progress to fibrosis and cirrhosis [1]. Large genetic studies have expanded the map of PBC susceptibility, including many non-HLA loci and immune pathways [2]. This progress creates a narrower but consequential problem: association at a locus does not identify the regulated gene, the cellular setting in which regulation occurs, or whether an apparent disease–expression overlap represents one shared signal rather than two correlated signals.</w:t>
      </w:r>
    </w:p>
    <w:p>
      <w:r>
        <w:t>Population-scale single-cell expression quantitative trait locus (eQTL) resources provide a route to cell-resolved interpretation. OneK1K mapped cis-regulatory effects across approximately 1.27 million peripheral blood mononuclear cells from 982 donors [3]. TenK10K phase 1, currently reported as a preprint resource, subsequently profiled more than 5.4 million cells from 1,925 donors across 28 immune cell types using whole-genome sequencing and single-cell expression measurements [4]. These resources substantially increase the range of testable immune contexts. However, their scale alone does not resolve three recurrent sources of error: linkage disequilibrium (LD) that differs between the disease and molecular-QTL samples, multiple causal signals within a locus, and selective emphasis on cell types that yield a favorable posterior.</w:t>
      </w:r>
    </w:p>
    <w:p>
      <w:r>
        <w:t>The PBC loci containing FCRL3, IL12RB2, and INAVA offer a stringent setting in which to address these problems. All three have prior genetic or molecular support, so their analysis cannot be presented as gene discovery [2]. Disease-side multi-signal fine-mapping has also been reported for established PBC loci [5]. The unresolved question is whether study-matched disease LD and donor-matched cell-QTL LD, combined with multi-signal decomposition and cross-resource single-cell eQTL replication, can distinguish stable cell-context signals from misleading single-signal results. A further question is whether prioritized target–lineage pairs are observable in PBC liver without converting a small tissue dataset into an unsupported case–control expression claim.</w:t>
      </w:r>
    </w:p>
    <w:p>
      <w:r>
        <w:t>We therefore performed a prespecified, protocol-frozen, bounded evaluation of three PBC loci and nine gene–cell combinations. We used single-causal colocalization only as a screening step, reconstructed source-matched LD for each eligible OneK1K cell type, and required stability across SuSiE model configurations and shared-signal priors before replication in TenK10K. We retained a weak-QTL control and a cell-context reversal in the evidence hierarchy. Finally, we evaluated FCRL3 in B-lineage cells and IL12RB2 in NK-lineage cells in five PBC and five control livers using donor-level inference. Our aim was to resolve reproducible regulatory signal sharing and its cellular context, while keeping the claim ceiling below biological mediation or causality.</w:t>
      </w:r>
    </w:p>
    <w:p>
      <w:pPr>
        <w:pStyle w:val="Heading1"/>
      </w:pPr>
      <w:r>
        <w:t>Methods</w:t>
      </w:r>
    </w:p>
    <w:p>
      <w:pPr>
        <w:pStyle w:val="Heading2"/>
      </w:pPr>
      <w:r>
        <w:t>Study design and frozen evidence gate</w:t>
      </w:r>
    </w:p>
    <w:p>
      <w:r>
        <w:t>This study was designed as a bounded, open-data analysis of established PBC susceptibility loci. Before signal-level modeling, we froze the disease dataset, three target/control genes, nine OneK1K cell–gene combinations, shared-signal priors, model configurations, replication rule, and tissue target–lineage pairs. The three genes were selected from prior PBC genetic/molecular-QTL evidence and source-QTL preflight rather than from the downstream colocalization results; INAVA was retained as a deliberately weak-QTL control. No new locus, gene, or cell type was added after outcome inspection. The evidence sequence was: byte and schema validation; allele and build harmonization; single-causal screening; source-matched LD construction; SuSiE-RSS and signal-pair colocalization; independent TenK10K replication; and a donor-level liver target-panel analysis. Negative or uninformative results remained part of the final evidence set.</w:t>
      </w:r>
    </w:p>
    <w:p>
      <w:pPr>
        <w:pStyle w:val="Heading2"/>
      </w:pPr>
      <w:r>
        <w:t>PBC genome-wide association data and disease LD</w:t>
      </w:r>
    </w:p>
    <w:p>
      <w:r>
        <w:t>PBC association statistics were obtained from GWAS Catalog accession GCST90061440, using the GRCh37 European five-panel meta-analysis from Cordell et al. [2]. This dataset included 8,021 cases and 16,489 controls (N=24,510). After byte-level and schema validation, 5,054,572 rows contained valid numeric association data. Study-derived regional summary statistics and LD matrices were obtained from the public GJOKA archive accompanying the disease fine-mapping analysis [5]. The IL12RB2 analysis used locus 2 and the FCRL3 analysis locus 4; INAVA used locus 6 for the initial comparison. File byte counts, SHA-256 hashes, and harmonization receipts were recorded before analysis.</w:t>
      </w:r>
    </w:p>
    <w:p>
      <w:pPr>
        <w:pStyle w:val="Heading2"/>
      </w:pPr>
      <w:r>
        <w:t>OneK1K eQTL inputs and frozen comparisons</w:t>
      </w:r>
    </w:p>
    <w:p>
      <w:r>
        <w:t>OneK1K provides cell-specific cis-eQTL summary statistics, genotype data, and covariates for a population-scale single-cell PBMC cohort [3]. The frozen analysis included IL12RB2/NK; FCRL3/B_IN, B_MEM, CD4_NC, CD8_ET, CD8_NC, NK, and NK_R; and INAVA/CD4_NC, for which the source symbol was C1orf106. Cell labels follow the source resource. Cell-specific active-donor lists were required for QTL LD construction; a global donor set was not substituted for cell types with fewer active donors. The complete frozen QTL extraction contained 24,001 rows.</w:t>
      </w:r>
    </w:p>
    <w:p>
      <w:pPr>
        <w:pStyle w:val="Heading2"/>
      </w:pPr>
      <w:r>
        <w:t>Variant identity and allele harmonization</w:t>
      </w:r>
    </w:p>
    <w:p>
      <w:r>
        <w:t>All disease and QTL variants were represented by chromosome, GRCh37 position, and alleles. Effect alleles were aligned to the OneK1K PLINK BIM A1 allele. Strand complements were permitted only when allele identity remained unambiguous. Palindromic variants were excluded when orientation could not be resolved from allele frequency and source metadata. Duplicate or conflicting variant identities, nonnumeric effects or standard errors, and variants absent from the relevant LD matrix were removed. Harmonization was completed before any posterior was calculated. The eligible regional disease tables contained 1,098 variants for IL12RB2, 958 for FCRL3, and 1,248 for INAVA; comparison-specific overlap counts differed after intersection with QTL and LD inputs.</w:t>
      </w:r>
    </w:p>
    <w:p>
      <w:pPr>
        <w:pStyle w:val="Heading2"/>
      </w:pPr>
      <w:r>
        <w:t>Single-causal-variant colocalization screen</w:t>
      </w:r>
    </w:p>
    <w:p>
      <w:r>
        <w:t xml:space="preserve">Approximate Bayes factor colocalization was performed according to Giambartolomei et al. [6]. Case–control disease effects used a prior standard deviation of 0.20, and quantitative-trait QTL effects used 0.15×sdY. The primary priors were p1=1×10−4, p2=1×10−4, and p12=1×10−5. Shared-signal prior sensitivity used p12=1×10−6 and 1×10−4. The principal posterior quantities were PP.H3, representing two distinct signals, PP.H4, representing one shared signal, and H4/(H3+H4), which conditions on the alternatives of distinct or shared association. A default PP.H4≥0.80 and H4/(H3+H4)≥0.80 identified screening candidates, but did not by itself establish a final result. Python implementation was cross-validated against the official R </w:t>
      </w:r>
      <w:r>
        <w:rPr>
          <w:rFonts w:ascii="Courier New" w:hAnsi="Courier New"/>
          <w:sz w:val="19"/>
        </w:rPr>
        <w:t>coloc</w:t>
      </w:r>
      <w:r>
        <w:t xml:space="preserve"> implementation; the maximum absolute posterior difference was 1.44×10−15.</w:t>
      </w:r>
    </w:p>
    <w:p>
      <w:pPr>
        <w:pStyle w:val="Heading2"/>
      </w:pPr>
      <w:r>
        <w:t>Source-matched QTL LD</w:t>
      </w:r>
    </w:p>
    <w:p>
      <w:r>
        <w:t>For each of the seven promoted comparisons, genotype dosage was extracted only for donors active in the relevant OneK1K cell type. Sample sizes were 975 for B_IN, 970 for B_MEM, 980 for CD4_NC, CD8_ET, NK, and IL12RB2/NK, and 750 for NK_R. Genotype dosage matrices were standardized using the aligned A1 allele. Raw genotype correlation matrices were retained as diagnostics. For the model-matched QTL LD used in signal-level analysis, genotype dosage was projected off the frozen covariate design: for genotype matrix G and covariate matrix C, residualized dosage was G</w:t>
      </w:r>
      <w:r>
        <w:rPr>
          <w:i/>
        </w:rPr>
        <w:t xml:space="preserve"> = [I − C(CᵀC)⁻¹Cᵀ]G and QTL LD was cor(G</w:t>
      </w:r>
      <w:r>
        <w:t>). C included sex, age, six genotype principal components, and expression factors. PF10, using 10 expression factors, was the primary specification; PF50, using 50 factors, was a covariate sensitivity analysis. Matrix identity, dimension, symmetry, diagonal, finite values, rank behavior, and positive-semidefinite tolerance were checked before SuSiE fitting.</w:t>
      </w:r>
    </w:p>
    <w:p>
      <w:pPr>
        <w:pStyle w:val="Heading2"/>
      </w:pPr>
      <w:r>
        <w:t>Multi-signal fine-mapping and signal-pair colocalization</w:t>
      </w:r>
    </w:p>
    <w:p>
      <w:r>
        <w:t xml:space="preserve">Disease and QTL summary statistics were fine-mapped with SuSiE-RSS [7]. Four configurations were required for every promoted comparison: PF10 with L=5, L=10, and L=20, and PF50 with L=10. Models used </w:t>
      </w:r>
      <w:r>
        <w:rPr>
          <w:rFonts w:ascii="Courier New" w:hAnsi="Courier New"/>
          <w:sz w:val="19"/>
        </w:rPr>
        <w:t>estimate_residual_variance=FALSE</w:t>
      </w:r>
      <w:r>
        <w:t xml:space="preserve">, </w:t>
      </w:r>
      <w:r>
        <w:rPr>
          <w:rFonts w:ascii="Courier New" w:hAnsi="Courier New"/>
          <w:sz w:val="19"/>
        </w:rPr>
        <w:t>estimate_prior_variance=TRUE</w:t>
      </w:r>
      <w:r>
        <w:t xml:space="preserve">, </w:t>
      </w:r>
      <w:r>
        <w:rPr>
          <w:rFonts w:ascii="Courier New" w:hAnsi="Courier New"/>
          <w:sz w:val="19"/>
        </w:rPr>
        <w:t>max_iter=2000</w:t>
      </w:r>
      <w:r>
        <w:t xml:space="preserve">, </w:t>
      </w:r>
      <w:r>
        <w:rPr>
          <w:rFonts w:ascii="Courier New" w:hAnsi="Courier New"/>
          <w:sz w:val="19"/>
        </w:rPr>
        <w:t>tol=1×10−4</w:t>
      </w:r>
      <w:r>
        <w:t>, 95% credible sets, and minimum absolute within-set correlation of 0.5. The disease sample size was fixed at 24,510; QTL sample sizes followed the cell-specific donor counts. A fit was eligible only if both disease and QTL models converged and yielded auditable signal and credible-set outputs.</w:t>
      </w:r>
    </w:p>
    <w:p>
      <w:r>
        <w:t xml:space="preserve">Signal-pair colocalization used </w:t>
      </w:r>
      <w:r>
        <w:rPr>
          <w:rFonts w:ascii="Courier New" w:hAnsi="Courier New"/>
          <w:sz w:val="19"/>
        </w:rPr>
        <w:t>coloc.susie</w:t>
      </w:r>
      <w:r>
        <w:t xml:space="preserve"> [8] and the same three p12 values. For each cell–gene comparison and configuration, all eligible disease–QTL signal pairs were evaluated. A robust shared signal required the same adjudication across all four configurations, default PP.H4≥0.80, default H4/(H3+H4)≥0.80, and continued H4 predominance under p12=1×10−6, operationalized as H4/(H3+H4)≥0.50. Results that favored H3, failed convergence, or were driven by weak QTL evidence were not promoted. Posterior probabilities were interpreted within each frozen comparison; no formal multiplicity correction was applied across the correlated cell-context colocalization tests. Control of researcher degrees of freedom instead relied on the fixed nine-comparison universe, complete reporting, frozen posterior/prior thresholds, model-configuration sensitivity, and external QTL-resource replication.</w:t>
      </w:r>
    </w:p>
    <w:p>
      <w:pPr>
        <w:pStyle w:val="Heading2"/>
      </w:pPr>
      <w:r>
        <w:t>TenK10K cross-resource replication</w:t>
      </w:r>
    </w:p>
    <w:p>
      <w:r>
        <w:t>TenK10K phase 1, currently available as a preprint resource, includes matched whole-genome and single-cell RNA sequencing from 1,925 individuals of European ancestry and more than 5.4 million PBMCs across 28 immune cell types [4]. Common-variant cis-eQTLs were mapped within ±100 kb using SAIGE-QTL. Replication was restricted to the two frozen compatible-cell axes: FCRL3 in intermediate B cells and IL12RB2 in NK cells. Exact variant intersections with the PBC disease locus yielded 343 and 396 variants, respectively. ABF colocalization used the same disease input and p12 sensitivity series. Source TenK10K SuSiE credible-set membership was audited for the FCRL3 comparison. Because the same PBC disease GWAS was reused and donor-level TenK10K LD was not reconstructed, the replication layer was described as cross-resource single-cell eQTL replication under a single-causal model with credible-set support, not as independent disease replication or source-LD multi-signal adjudication.</w:t>
      </w:r>
    </w:p>
    <w:p>
      <w:pPr>
        <w:pStyle w:val="Heading2"/>
      </w:pPr>
      <w:r>
        <w:t>HRA008003 liver target-panel analysis</w:t>
      </w:r>
    </w:p>
    <w:p>
      <w:r>
        <w:t xml:space="preserve">HRA008003 is an open-access single-cell study of liver and blood in PBC [9]. The present analysis used liver BAM files from five treatment-naïve PBC donors (HRR1849459–HRR1849463) and five non-lesion liver controls from hepatic hemangioma surgery (HRR1849454–HRR1849458). Source sizes and checksums were verified, and each BAM passed </w:t>
      </w:r>
      <w:r>
        <w:rPr>
          <w:rFonts w:ascii="Courier New" w:hAnsi="Courier New"/>
          <w:sz w:val="19"/>
        </w:rPr>
        <w:t>samtools quickcheck</w:t>
      </w:r>
      <w:r>
        <w:t xml:space="preserve"> and a tag-schema preflight.</w:t>
      </w:r>
    </w:p>
    <w:p>
      <w:r>
        <w:t xml:space="preserve">Molecule representatives were counted from records carrying the 10x </w:t>
      </w:r>
      <w:r>
        <w:rPr>
          <w:rFonts w:ascii="Courier New" w:hAnsi="Courier New"/>
          <w:sz w:val="19"/>
        </w:rPr>
        <w:t>xf</w:t>
      </w:r>
      <w:r>
        <w:t xml:space="preserve"> bit 8 flag, corrected cell barcode (</w:t>
      </w:r>
      <w:r>
        <w:rPr>
          <w:rFonts w:ascii="Courier New" w:hAnsi="Courier New"/>
          <w:sz w:val="19"/>
        </w:rPr>
        <w:t>CB</w:t>
      </w:r>
      <w:r>
        <w:t>), gene name (</w:t>
      </w:r>
      <w:r>
        <w:rPr>
          <w:rFonts w:ascii="Courier New" w:hAnsi="Courier New"/>
          <w:sz w:val="19"/>
        </w:rPr>
        <w:t>GN</w:t>
      </w:r>
      <w:r>
        <w:t>), and unique molecular identifier (</w:t>
      </w:r>
      <w:r>
        <w:rPr>
          <w:rFonts w:ascii="Courier New" w:hAnsi="Courier New"/>
          <w:sz w:val="19"/>
        </w:rPr>
        <w:t>UB</w:t>
      </w:r>
      <w:r>
        <w:t>). Called cells were defined with a frozen order-of-magnitude procedure: an expected upper rank of 6,000 cells per library and a threshold equal to 10% of the 99th percentile UMI count among the top 6,000 barcodes. Libraries were required to contain 2,500–7,500 called cells and a median of at least 500 UMIs per cell.</w:t>
      </w:r>
    </w:p>
    <w:p>
      <w:r>
        <w:t>B-lineage cells required at least two of CD79A, CD79B, MS4A1, CD37, CD74, HLA-DRA, CD19, and CD22, at least three B-marker UMIs, and a B-marker sum greater than the maximum NK-, T-, or myeloid-marker sum. NK-lineage cells required at least two of NKG7, GNLY, KLRD1, PRF1, GZMB, XCL1, and XCL2, at least three NK-marker UMIs, an NK-marker sum greater than the B- and myeloid-marker sums, and at least the T-marker sum. T-cell markers were CD3D, CD3E, TRBC1, TRBC2, and IL7R; myeloid markers were LST1, TYROBP, FCER1G, CTSS, AIF1, and LYZ. Each donor–lineage combination required at least ten cells.</w:t>
      </w:r>
    </w:p>
    <w:p>
      <w:r>
        <w:t>Target detectability required at least three target UMIs and at least two target-positive lineage cells per donor. Target CPM was calculated as target UMIs divided by total lineage UMIs ×10^6. These thresholds and the two target–lineage pairs, FCRL3–B and IL12RB2–NK, were frozen before the control BAMs were analyzed.</w:t>
      </w:r>
    </w:p>
    <w:p>
      <w:pPr>
        <w:pStyle w:val="Heading2"/>
      </w:pPr>
      <w:r>
        <w:t>Tissue statistical analysis</w:t>
      </w:r>
    </w:p>
    <w:p>
      <w:r>
        <w:t>The biological unit was the donor. The primary endpoint was log1p target CPM within the prespecified lineage. For each target, the difference in group means was compared with the exact distribution of all 252 assignments of five of ten donors to the PBC label. Two-sided exact P values were corrected across the two prespecified targets with the Benjamini–Hochberg method. Leave-one-donor-out analyses assessed whether the estimated direction changed after removal of each donor; they were sensitivity analyses rather than independent replication. Cell-level tests were not used for case–control inference.</w:t>
      </w:r>
    </w:p>
    <w:p>
      <w:pPr>
        <w:pStyle w:val="Heading2"/>
      </w:pPr>
      <w:r>
        <w:t>Reproducibility and quality control</w:t>
      </w:r>
    </w:p>
    <w:p>
      <w:r>
        <w:t xml:space="preserve">Every external input was recorded with its accession, URL, byte count, and available MD5 or locally calculated SHA-256 value. OpenAI Codex, using the locally installed QiTeng Academic Writing Skill, was used under author supervision for structural and language editing, file generation, and consistency checks. It was not treated as an author or as an autonomous source of scientific claims. All numerical claims were programmatically checked against frozen source tables, and the authors retain responsibility for the final text and interpretation. Large third-party inputs and donor-level genotype or molecule tables were not mirrored to the public repository; compact aggregate results, manifests, and code were retained. The OneK1K multi-signal workflow produced 28 of 28 converged disease/QTL fit pairs and passed 21 of 21 independent checks. The tissue analysis passed 19 of 19 independent quality checks. Software versions for the signal-level R analysis were R 4.6.1, </w:t>
      </w:r>
      <w:r>
        <w:rPr>
          <w:rFonts w:ascii="Courier New" w:hAnsi="Courier New"/>
          <w:sz w:val="19"/>
        </w:rPr>
        <w:t>susieR</w:t>
      </w:r>
      <w:r>
        <w:t xml:space="preserve"> 0.14.2, and </w:t>
      </w:r>
      <w:r>
        <w:rPr>
          <w:rFonts w:ascii="Courier New" w:hAnsi="Courier New"/>
          <w:sz w:val="19"/>
        </w:rPr>
        <w:t>coloc</w:t>
      </w:r>
      <w:r>
        <w:t xml:space="preserve"> 5.2.3.</w:t>
      </w:r>
    </w:p>
    <w:p>
      <w:pPr>
        <w:pStyle w:val="Heading1"/>
      </w:pPr>
      <w:r>
        <w:t>Results</w:t>
      </w:r>
    </w:p>
    <w:p>
      <w:pPr>
        <w:pStyle w:val="Heading2"/>
      </w:pPr>
      <w:r>
        <w:t>A bounded, source-aware workflow interrogated established PBC loci</w:t>
      </w:r>
    </w:p>
    <w:p>
      <w:r>
        <w:t>The analysis began from frozen eligibility rules rather than a genome-wide search for the largest posterior (Figure 1). The disease input was the European component of the international PBC genome-wide association meta-analysis, comprising 8,021 cases and 16,489 controls (N=24,510) [2]. The harmonized genome-wide file contained 5,054,572 valid numeric variant rows. Study-derived locus summary statistics and LD matrices were available for the 56 analyzed non-HLA regions [5]. We selected locus 2 for IL12RB2, locus 4 for FCRL3, and locus 6 for INAVA according to the prespecified positive-control and falsification design. This was not an outcome-driven gene search: all three genes had prior PBC genetic or molecular-QTL support [2], IL12RB2 and FCRL3 had strong preflight cis-eQTL support in both OneK1K and TenK10K, and INAVA was deliberately retained despite weak OneK1K QTL support to preserve an uninformative control.</w:t>
      </w:r>
    </w:p>
    <w:p>
      <w:r>
        <w:t>Nine OneK1K comparisons were frozen before signal-level analysis: IL12RB2 in NK cells; FCRL3 in intermediate B (B_IN), memory B (B_MEM), naïve CD4 T (CD4_NC), effector T (CD8_ET), naïve CD8 T (CD8_NC), NK, and resting NK (NK_R) cells; and INAVA (source symbol C1orf106) in CD4_NC cells. All nine were testable, yielding 24,001 QTL rows. Harmonization retained 1,098 eligible variants at IL12RB2, 958 at FCRL3, and 1,248 at INAVA before comparison-specific intersections. The single-causal screen identified seven candidate shared-signal comparisons. FCRL3/CD8_NC and INAVA/CD4_NC remained uninformative and were not promoted to source-LD analysis (Supplementary Tables S2 and S3).</w:t>
      </w:r>
    </w:p>
    <w:p>
      <w:r>
        <w:t>For the seven triggered comparisons, cell-specific active donors were used to build QTL-side LD: 975 for FCRL3/B_IN, 970 for FCRL3/B_MEM, 980 for FCRL3/CD4_NC, 980 for FCRL3/CD8_ET, 980 for FCRL3/NK, 750 for FCRL3/NK_R, and 980 for IL12RB2/NK. The corresponding genotype matrices contained 2,667–2,687 variants at FCRL3 and 2,386 variants at IL12RB2. Residualized LD accounted for sex, age, six genotype principal components, and either 10 or 50 expression factors. All 28 disease and QTL SuSiE fits—seven comparisons across four prespecified configurations—converged, providing a complete signal-level analysis rather than a selected subset (Supplementary Tables S4–S6).</w:t>
      </w:r>
    </w:p>
    <w:p>
      <w:pPr>
        <w:pStyle w:val="Heading2"/>
      </w:pPr>
      <w:r>
        <w:t>IL12RB2 showed stable NK-cell regulatory signal sharing</w:t>
      </w:r>
    </w:p>
    <w:p>
      <w:r>
        <w:t>The single-causal screen for IL12RB2 in NK cells included 1,081 variants and yielded PP.H4=0.9982 under the default shared-signal prior (Figure 2; Supplementary Table S3). Because the PBC disease region was known to contain multiple signals, promotion did not depend on this result. Source-matched multi-signal analysis included 1,016 common variants and resolved two disease credible sets and one QTL credible set in every configuration.</w:t>
      </w:r>
    </w:p>
    <w:p>
      <w:r>
        <w:t>The best disease–QTL signal pair was stable across PF10_L5, PF10_L10, PF10_L20, and PF50_L10. The minimum default PP.H4 across these configurations was 0.9980, the minimum default H4/(H3+H4) was 0.9980, and the minimum ratio under the skeptical p12=1×10−6 prior was 0.9806. Thus, the interpretation did not depend on a single assumed number of effects, on the choice between 10 and 50 expression factors, or on the default shared-signal prior. We classified IL12RB2–NK as robust disease–eQTL signal sharing in the OneK1K resource, rather than evidence of expression mediation.</w:t>
      </w:r>
    </w:p>
    <w:p>
      <w:pPr>
        <w:pStyle w:val="Heading2"/>
      </w:pPr>
      <w:r>
        <w:t>FCRL3 signal sharing was cell-context dependent</w:t>
      </w:r>
    </w:p>
    <w:p>
      <w:r>
        <w:t>FCRL3 showed a wider but non-uniform cellular pattern (Figure 3). The source-matched multi-signal gate passed in B_IN, B_MEM, CD4_NC, NK, and NK_R cells across all four configurations. The minimum default PP.H4 values were 0.9938 for B_IN, 0.9912 for B_MEM, 0.9914 for CD4_NC, 0.9396 for NK, and 0.9712 for NK_R. At p12=1×10−6, the corresponding minimum H4/(H3+H4) values were 0.9411, 0.9187, 0.9244, 0.6086, and 0.7715. The lower skeptical-prior ratios in NK and NK_R indicate stronger prior sensitivity than in the B and CD4_NC contexts, although all prespecified configurations retained the same pass classification.</w:t>
      </w:r>
    </w:p>
    <w:p>
      <w:r>
        <w:t>The CD8_ET comparison exposed the principal reason for separating screening from adjudication. Under the single-causal model, FCRL3/CD8_ET appeared strongly supportive of a shared signal (PP.H4=0.9413; H4/[H3+H4]=0.9415). Source-matched SuSiE analysis instead resolved one disease credible set and two QTL credible sets. Across configurations, the minimum default PP.H4 for the tested signal pair was 0.0036, the H4/(H3+H4) ratio was 0.0037, and PP.H3 was approximately 0.992. This reversal favored distinct disease and eQTL signals. It was retained as a primary methodological result rather than hidden as a failed cell type.</w:t>
      </w:r>
    </w:p>
    <w:p>
      <w:r>
        <w:t>Two prespecified comparisons did not enter the multi-signal stage. FCRL3/CD8_NC had single-causal PP.H4=0.1314 and was classified as uninformative. INAVA/CD4_NC had a minimum QTL P value of 3.92×10−4, PP.H4=0.0262 under the default prior, and PP.H4=0.0027 at p12=1×10−6. We therefore retained INAVA as an uninformative weak-QTL control. This result does not exclude a role for INAVA in PBC; it limits what this OneK1K cell–gene comparison can establish.</w:t>
      </w:r>
    </w:p>
    <w:p>
      <w:pPr>
        <w:pStyle w:val="Heading2"/>
      </w:pPr>
      <w:r>
        <w:t>TenK10K reproduced the two primary axes in an independent eQTL resource</w:t>
      </w:r>
    </w:p>
    <w:p>
      <w:r>
        <w:t>We next tested the two prespecified compatible-cell axes in TenK10K, an independent single-cell eQTL cohort [4]. The replication analysis reused the same PBC disease summary statistics, used exact disease–QTL variant intersections, and evaluated p12 values of 1×10−6, 1×10−5, and 1×10−4 (Figure 4; Supplementary Table S7). It therefore constitutes independent molecular-QTL resource replication, not independent disease-cohort replication.</w:t>
      </w:r>
    </w:p>
    <w:p>
      <w:r>
        <w:t>For IL12RB2 in TenK10K NK cells, 396 variants were shared with the disease locus. PP.H4 was 0.9975 under the default prior, with H4/(H3+H4)=0.9975. Under the skeptical prior, PP.H4 and the H4 ratio were both 0.9760; under p12=1×10−4, PP.H4 was 0.9998. This reproduced the IL12RB2–NK signal-sharing pattern across an independent eQTL cohort while reusing the same disease GWAS.</w:t>
      </w:r>
    </w:p>
    <w:p>
      <w:r>
        <w:t>For FCRL3 in TenK10K intermediate B cells, 343 variants were shared. The default PP.H4 was 0.9916 and H4/(H3+H4)=0.9916. The skeptical-prior PP.H4 was 0.9216 and the corresponding H4 ratio was 0.9217; PP.H4 rose to 0.9991 at p12=1×10−4. Twenty-four of 45 variants in the TenK10K source credible set overlapped the disease comparison, including the frozen shared variants. Because donor-level TenK10K genotypes were not used to reconstruct source LD in this analysis, these results are classified as robust single-causal cross-resource molecular replication supported by source credible-set identity, rather than a second source-LD multi-signal proof or unique causal-variant resolution.</w:t>
      </w:r>
    </w:p>
    <w:p>
      <w:pPr>
        <w:pStyle w:val="Heading2"/>
      </w:pPr>
      <w:r>
        <w:t>Liver tissue supported detectability but not disease-specific enrichment</w:t>
      </w:r>
    </w:p>
    <w:p>
      <w:r>
        <w:t>The orthogonal tissue analysis addressed a narrower question: whether FCRL3 could be detected in a prespecified hepatic B-lineage gate and IL12RB2 in a prespecified hepatic NK-lineage gate. It did not attempt full tissue reclustering or transcriptome-wide differential expression. We analyzed publicly accessible HRA008003 single-cell BAMs from five untreated PBC liver donors and five non-lesion liver controls obtained during surgery for hepatic hemangioma [9]. Across the ten donors, 49,637 cells passed the frozen called-cell procedure (23,809 PBC and 25,828 control cells), with 2,981–7,316 called cells per donor.</w:t>
      </w:r>
    </w:p>
    <w:p>
      <w:r>
        <w:t>Both target–lineage pairs passed lineage adequacy and detectability gates in every donor (Figure 5; Supplementary Tables S8 and S9). Donors, rather than cells, were treated as biological replicates. For FCRL3 in the B-lineage gate, median target counts per million lineage UMIs were 5.48 in PBC and 12.45 in controls. The PBC-minus-control difference in mean log1p CPM was −0.7863, with an exact two-sided 5-versus-5 label-permutation P=0.1111 and two-target Benjamini–Hochberg q=0.1111. The negative direction was preserved in all ten leave-one-donor-out comparisons.</w:t>
      </w:r>
    </w:p>
    <w:p>
      <w:r>
        <w:t>For IL12RB2 in the NK-lineage gate, median CPM was 6.66 in PBC and 4.24 in controls. The PBC-minus-control difference in mean log1p CPM was +0.3300, with exact P=0.06349 and q=0.1111. The positive direction was preserved in all ten leave-one-donor-out comparisons. Both prespecified target–lineage pairs were detectable in all five PBC and all five control donors. FCRL3–B showed a lower direction in PBC, whereas IL12RB2–NK showed a higher direction; neither target passed the prespecified two-target corrected case–control enrichment threshold.</w:t>
      </w:r>
    </w:p>
    <w:p>
      <w:pPr>
        <w:pStyle w:val="Heading2"/>
      </w:pPr>
      <w:r>
        <w:t>The integrated evidence supports replicated signal sharing with a strict claim ceiling</w:t>
      </w:r>
    </w:p>
    <w:p>
      <w:r>
        <w:t>The completed evidence chain supports two cross-resource regulatory axes (Figure 6). IL12RB2–NK met the source-matched OneK1K multi-signal gate and was reproduced in TenK10K NK cells using the same PBC GWAS. FCRL3 met the OneK1K multi-signal gate most strongly in B_IN and B_MEM cells, showed additional supported contexts, and was reproduced in TenK10K intermediate B cells. The CD8_ET reversal demonstrated that a favorable single-causal posterior did not guarantee signal-specific sharing. INAVA remained visibly uninformative. Liver data showed that the two target–lineage pairs were observable across all donors, while corrected case–control enrichment was not supported.</w:t>
      </w:r>
    </w:p>
    <w:p>
      <w:r>
        <w:t>Accordingly, the central claims are limited to replicated or sensitivity-supported association and disease–eQTL signal sharing. No inference is made about expression mediation, novel gene discovery, or therapeutic validity.</w:t>
      </w:r>
    </w:p>
    <w:p>
      <w:pPr>
        <w:pStyle w:val="Heading1"/>
      </w:pPr>
      <w:r>
        <w:t>Discussion</w:t>
      </w:r>
    </w:p>
    <w:p>
      <w:r>
        <w:t>Using a bounded analysis that preserved study-specific LD and separated local signals, we resolved two established PBC loci into reproducible immune-cell regulatory axes. IL12RB2 showed a stable shared signal in NK cells across OneK1K model configurations and was reproduced in TenK10K NK cells. FCRL3 showed the strongest and most prior-resistant evidence in B-cell contexts, with cross-resource replication in TenK10K intermediate B cells, while the broader OneK1K pattern remained context dependent. The same workflow rejected an apparently positive FCRL3/CD8_ET result after multi-signal decomposition and retained INAVA as an uninformative weak-QTL control. Tissue analysis then established target–lineage observability in liver without supplying evidence for corrected PBC-specific enrichment.</w:t>
      </w:r>
    </w:p>
    <w:p>
      <w:r>
        <w:t>Because FCRL3 and IL12RB2 have previously been implicated by PBC genetics and molecular-QTL studies, the contribution of this study lies in source-matched, cell-context-resolved multi-signal inference and independent single-cell eQTL replication rather than gene discovery. The international PBC meta-analysis already nominated FCRL3 and reported extensive molecular colocalization across susceptibility loci [2]. Subsequent disease-side fine-mapping applied SuSiE-RSS and h2-D2 to 56 non-HLA loci [5]. More recently, Han and colleagues integrated genetic and molecular-QTL data for FCRL3, localized expression predominantly to B cells in PBC liver, and performed Raji-cell experiments [10]. A separate cross-tissue study combined PBC genetics with immune traits, blood transcriptomics, and liver single-cell data [11]. Lin and colleagues independently prioritized IL12RB2 using SMR, MAGMA, and FUMA [12], while Xi and colleagues reported PBC colocalization with plasma FCRL3 (PPH4=0.925) [13]. These studies rule out broad claims of first gene implication, first B-cell localization, first FCRL3 colocalization, or first PBC multi-omics integration. Our narrower contribution is the explicit pairing of source-derived disease LD with donor- and cell-matched model-specific QTL LD, the requirement for agreement across multi-signal configurations, complete retention of negative or uninformative prespecified comparisons, and replication in a second population-scale single-cell eQTL resource.</w:t>
      </w:r>
    </w:p>
    <w:p>
      <w:r>
        <w:t>The IL12RB2 result links a well-established PBC immune pathway to a specific regulatory context. IL12 signaling has long been implicated in PBC susceptibility and Th1-skewed immune biology [1,2]. The present data refine that background by showing stable disease–IL12RB2 eQTL sharing in NK cells across two independent eQTL cohorts; the TenK10K layer reuses the same PBC GWAS and therefore is not an independent disease replication. This convergence makes the NK context a rational setting for functional follow-up, but it does not show that the disease allele changes IL12RB2 expression in hepatic NK cells or that this change mediates disease. The decisive next test would edit the prioritized regulatory haplotype in donor-derived or induced NK cells, quantify allele-specific IL12RB2 expression and IL12-responsive signaling, and test whether the direction agrees with the QTL and disease-risk alleles.</w:t>
      </w:r>
    </w:p>
    <w:p>
      <w:r>
        <w:t>FCRL3 illustrates why cell-type resolution must be paired with signal resolution. The strongest OneK1K results occurred in intermediate and memory B-cell contexts, and the compatible intermediate B-cell result reproduced in TenK10K. This is consistent with prior B-cell localization [10], but the value added here is statistical discrimination rather than anatomical discovery. The additional OneK1K signals in CD4_NC, NK, and NK_R cells suggest that local genetic regulation is not confined to one annotated cell class. Their biological interpretation should remain secondary because TenK10K replication was prespecified only for the compatible B-cell axis and because the NK results were more sensitive to the skeptical prior. Targeted functional work should therefore begin in B cells and treat the other contexts as ranked hypotheses rather than equivalent conclusions.</w:t>
      </w:r>
    </w:p>
    <w:p>
      <w:r>
        <w:t>The FCRL3/CD8_ET reversal is a direct stress test of the analysis design. A conventional single-causal analysis produced PP.H4=0.941, which could easily have been reported as a positive cell-specific colocalization. Once one disease signal and two QTL signals were modeled with source-matched LD, PP.H4 fell to 0.0036 and H3 dominated. This result does not imply that single-causal colocalization is generally invalid; it shows that its assumption can be decision-changing in a multi-signal region. The finding supports a practical workflow in which inexpensive ABF analysis screens comparisons, while any promoted claim is adjudicated with source-appropriate LD and multi-signal models when the required genotype information exists [6,7,8].</w:t>
      </w:r>
    </w:p>
    <w:p>
      <w:r>
        <w:t>The liver analysis changes the interpretation by adding a boundary rather than a new positive claim. Both target genes were detectable in their prespecified immune-lineage gates in all ten donors, which establishes that the proposed cell contexts are observable in the disease organ. The case–control directions were opposite for the two genes and remained stable to leave-one-donor-out analysis, but neither comparison passed the corrected threshold. Given the five-versus-five donor design, these results are compatible with effects too small or heterogeneous to detect, as well as with no disease-specific expression difference. They cannot be used to label FCRL3 as downregulated or IL12RB2 as upregulated in PBC liver. This separation between genetic signal sharing and cross-sectional tissue abundance is biologically plausible: a cis-regulatory effect relevant to risk may be state dependent, modest in average abundance, or active before established disease and treatment-independent tissue sampling.</w:t>
      </w:r>
    </w:p>
    <w:p>
      <w:r>
        <w:t>Several limitations define the claim ceiling. First, the disease GWAS and disease LD were European, and OneK1K and TenK10K predominantly sampled donors of European ancestry. Generalizability to other ancestries remains untested. Second, the analysis was intentionally bounded to three genes and nine cell–gene combinations. It estimates the strength of prespecified hypotheses and controls researcher degrees of freedom, but it does not exhaustively nominate genes at the loci. Third, QTL-side LD was reconstructed from cell-active donor genotypes after projection on covariates used to approximate the source eQTL model. This model-matched residual-LD construction is less conventional than raw genotype LD; raw and residualized matrices were retained for audit, PF10/PF50 specifications were prespecified, and conclusions were required to remain stable across the frozen residualization specifications. Fourth, the TenK10K phase 1 source is currently a preprint, the replication reused the same PBC GWAS, and donor-level TenK10K QTL LD was not reconstructed; this layer therefore provides cross-resource molecular replication under a single-causal approximation rather than independent disease replication or a second source-LD multi-signal proof. Fifth, posterior probabilities from the correlated cell-context comparisons were not subjected to a formal across-cell multiplicity correction. The study instead froze the nine-comparison universe, reported all screens and all 28 promoted fits, required prior/configuration stability, and sought cross-resource replication; these design controls do not make the posterior probabilities family-wise-error controlled. Sixth, the liver target-panel gate used predefined lineage markers and molecule counts from ten donors. It was designed for donor-level detectability and two targeted comparisons, not for full cell-state discovery, compositional analysis, or transcriptome-wide differential-expression inference. Seventh, colocalization distinguishes shared from distinct association signals probabilistically; it does not establish the direction of mediation, the effector transcript, or a biochemical mechanism.</w:t>
      </w:r>
    </w:p>
    <w:p>
      <w:r>
        <w:t>These limitations define specific next experiments. Priority 1 is allele-aware perturbation of the shared FCRL3 regulatory signal in primary or induced B-cell models and of the IL12RB2 signal in NK-cell models, with target expression and receptor-pathway responses measured in the same cells. Priority 2 is replication of signal-specific colocalization using ancestry-diverse PBC summary statistics and matching ancestry-specific QTL LD. Priority 3 is a larger liver cohort with genotype, treatment, disease-stage, and cell-state information, analyzed at the donor level to test genotype-by-state effects rather than only mean case–control abundance. A positive result in these experiments would raise the evidence from replicated association toward mechanism; absence of an allele-dependent functional effect would falsify the current regulatory interpretation.</w:t>
      </w:r>
    </w:p>
    <w:p>
      <w:r>
        <w:t>In conclusion, source-matched multi-signal analysis resolved established PBC loci into FCRL3–B and IL12RB2–NK disease–eQTL signal-sharing axes supported across two independent molecular-QTL resources while reusing the same PBC disease GWAS. The workflow also rejected a misleading cell-context result and preserved weak-QTL and tissue-null evidence. These results prioritize cell contexts for mechanistic testing while stopping short of causal mediation, disease-specific liver expression, or therapeutic claims.</w:t>
      </w:r>
    </w:p>
    <w:p>
      <w:pPr>
        <w:pStyle w:val="Heading1"/>
      </w:pPr>
      <w:r>
        <w:t>Conclusions</w:t>
      </w:r>
    </w:p>
    <w:p>
      <w:r>
        <w:t>Source-matched disease and cell-QTL LD, multi-signal decomposition, complete reporting of frozen comparisons, and cross-resource molecular-QTL replication resolved IL12RB2-NK and FCRL3-B regulatory signal sharing at established PBC loci. The FCRL3/CD8_ET reversal shows why favorable single-causal posteriors require signal-level adjudication. Donor-level liver data established target-lineage detectability but did not support corrected PBC-specific enrichment. The evidence therefore supports replicated association and signal sharing, while expression mediation, biological mechanism, and therapeutic relevance remain untested.</w:t>
      </w:r>
    </w:p>
    <w:p>
      <w:pPr>
        <w:pStyle w:val="Heading1"/>
      </w:pPr>
      <w:r>
        <w:t>List of abbreviations</w:t>
      </w:r>
    </w:p>
    <w:p>
      <w:r>
        <w:t>ABF, approximate Bayes factor; BH, Benjamini-Hochberg; CPM, counts per million; eQTL, expression quantitative trait locus; GWAS, genome-wide association study; H3, posterior hypothesis of distinct signals; H4, posterior hypothesis of a shared signal; LD, linkage disequilibrium; NK, natural killer; PBC, primary biliary cholangitis; PIP, posterior inclusion probability; QTL, quantitative trait locus; RSS, regression with summary statistics; SuSiE, sum of single effects; UMI, unique molecular identifier.</w:t>
      </w:r>
    </w:p>
    <w:p>
      <w:pPr>
        <w:pStyle w:val="Heading1"/>
      </w:pPr>
      <w:r>
        <w:t>Declarations</w:t>
      </w:r>
    </w:p>
    <w:p>
      <w:pPr>
        <w:pStyle w:val="Heading2"/>
      </w:pPr>
      <w:r>
        <w:t>Ethics approval and consent to participate</w:t>
      </w:r>
    </w:p>
    <w:p>
      <w:r>
        <w:rPr>
          <w:highlight w:val="yellow"/>
        </w:rPr>
        <w:t>This study analyzed de-identified data available from public repositories and did not recruit new participants or collect new human samples. Ethics approvals and informed-consent procedures for the source cohorts are described in the original publications and repositories. [AUTHOR/INSTITUTION TO CONFIRM WHETHER A LOCAL EXEMPTION OR WAIVER STATEMENT AND REFERENCE NUMBER ARE REQUIRED.]</w:t>
      </w:r>
    </w:p>
    <w:p>
      <w:pPr>
        <w:pStyle w:val="Heading2"/>
      </w:pPr>
      <w:r>
        <w:t>Consent for publication</w:t>
      </w:r>
    </w:p>
    <w:p>
      <w:r>
        <w:t>Not applicable. No identifiable individual-level information is presented.</w:t>
      </w:r>
    </w:p>
    <w:p>
      <w:pPr>
        <w:pStyle w:val="Heading2"/>
      </w:pPr>
      <w:r>
        <w:t>Availability of data and materials</w:t>
      </w:r>
    </w:p>
    <w:p>
      <w:r>
        <w:t>The PBC GWAS summary statistics are available from the NHGRI-EBI GWAS Catalog under GCST90061440 [14]. PBC locus summary statistics and study-derived LD matrices are available from the GJOKA archive [15]. OneK1K cell-specific cis-eQTLs, genotypes, and covariates are available from Zenodo record 18910121 [16]. TenK10K eQTL and fine-mapping resources are available from Zenodo record 18221260 [17]. HRA008003 is openly accessible through GSA-Human [18]. Compact aggregate outputs supporting the manuscript are included in the supplementary workbook and public project repository [19]. Large third-party source files and donor-level derived matrices are not redistributed.</w:t>
      </w:r>
    </w:p>
    <w:p>
      <w:pPr>
        <w:pStyle w:val="Heading2"/>
      </w:pPr>
      <w:r>
        <w:t>Competing interests</w:t>
      </w:r>
    </w:p>
    <w:p>
      <w:r>
        <w:rPr>
          <w:highlight w:val="yellow"/>
        </w:rPr>
        <w:t>[COMPETING-INTEREST DECLARATION TO BE COMPLETED AND VERIFIED FOR EVERY AUTHOR.]</w:t>
      </w:r>
    </w:p>
    <w:p>
      <w:pPr>
        <w:pStyle w:val="Heading2"/>
      </w:pPr>
      <w:r>
        <w:t>Funding</w:t>
      </w:r>
    </w:p>
    <w:p>
      <w:r>
        <w:rPr>
          <w:highlight w:val="yellow"/>
        </w:rPr>
        <w:t>[ALL FUNDERS, GRANT NUMBERS, AND FUNDER ROLES TO BE COMPLETED AND VERIFIED.]</w:t>
      </w:r>
    </w:p>
    <w:p>
      <w:pPr>
        <w:pStyle w:val="Heading2"/>
      </w:pPr>
      <w:r>
        <w:t>Authors' contributions</w:t>
      </w:r>
    </w:p>
    <w:p>
      <w:r>
        <w:rPr>
          <w:highlight w:val="yellow"/>
        </w:rPr>
        <w:t>[AUTHOR INITIALS AND CRediT-ALIGNED CONTRIBUTIONS TO BE COMPLETED. All authors must confirm that they read and approved the final manuscript.]</w:t>
      </w:r>
    </w:p>
    <w:p>
      <w:pPr>
        <w:pStyle w:val="Heading2"/>
      </w:pPr>
      <w:r>
        <w:t>Acknowledgements</w:t>
      </w:r>
    </w:p>
    <w:p>
      <w:r>
        <w:rPr>
          <w:highlight w:val="yellow"/>
        </w:rPr>
        <w:t>[ACKNOWLEDGEMENTS TO BE COMPLETED, INCLUDING PERMISSION FROM NAMED CONTRIBUTORS. State "Not applicable" if none.]</w:t>
      </w:r>
    </w:p>
    <w:p>
      <w:pPr>
        <w:pStyle w:val="Heading2"/>
      </w:pPr>
      <w:r>
        <w:t>Authors' information</w:t>
      </w:r>
    </w:p>
    <w:p>
      <w:r>
        <w:t>Not provided.</w:t>
      </w:r>
    </w:p>
    <w:p>
      <w:pPr>
        <w:pStyle w:val="Heading1"/>
      </w:pPr>
      <w:r>
        <w:t>References</w:t>
      </w:r>
    </w:p>
    <w:p>
      <w:pPr>
        <w:spacing w:line="276" w:lineRule="auto" w:after="60"/>
        <w:ind w:left="425" w:hanging="425"/>
      </w:pPr>
      <w:r>
        <w:t xml:space="preserve">1. Gulamhusein AF, Hirschfield GM. Primary biliary cholangitis: pathogenesis and therapeutic opportunities. </w:t>
      </w:r>
      <w:r>
        <w:rPr>
          <w:i/>
        </w:rPr>
        <w:t>Nat Rev Gastroenterol Hepatol.</w:t>
      </w:r>
      <w:r>
        <w:t xml:space="preserve"> 2020;17:93–110. doi:10.1038/s41575-019-0226-7.</w:t>
      </w:r>
    </w:p>
    <w:p>
      <w:pPr>
        <w:spacing w:line="276" w:lineRule="auto" w:after="60"/>
        <w:ind w:left="425" w:hanging="425"/>
      </w:pPr>
      <w:r>
        <w:t xml:space="preserve">2. Cordell HJ, Fryett JJ, Ueno K, et al. An international genome-wide meta-analysis of primary biliary cholangitis: novel risk loci and candidate drugs. </w:t>
      </w:r>
      <w:r>
        <w:rPr>
          <w:i/>
        </w:rPr>
        <w:t>J Hepatol.</w:t>
      </w:r>
      <w:r>
        <w:t xml:space="preserve"> 2021;75:572–581. doi:10.1016/j.jhep.2021.04.055.</w:t>
      </w:r>
    </w:p>
    <w:p>
      <w:pPr>
        <w:spacing w:line="276" w:lineRule="auto" w:after="60"/>
        <w:ind w:left="425" w:hanging="425"/>
      </w:pPr>
      <w:r>
        <w:t xml:space="preserve">3. Yazar S, Alquicira-Hernandez J, Wing K, et al. Single-cell eQTL mapping identifies cell type-specific genetic control of autoimmune disease. </w:t>
      </w:r>
      <w:r>
        <w:rPr>
          <w:i/>
        </w:rPr>
        <w:t>Science.</w:t>
      </w:r>
      <w:r>
        <w:t xml:space="preserve"> 2022;376:eabf3041. doi:10.1126/science.abf3041.</w:t>
      </w:r>
    </w:p>
    <w:p>
      <w:pPr>
        <w:spacing w:line="276" w:lineRule="auto" w:after="60"/>
        <w:ind w:left="425" w:hanging="425"/>
      </w:pPr>
      <w:r>
        <w:t xml:space="preserve">4. Cuomo ASE, Spenceley E, Tanudisastro HA, et al. Impact of rare and common genetic variation on cell type-specific gene expression in human blood. </w:t>
      </w:r>
      <w:r>
        <w:rPr>
          <w:i/>
        </w:rPr>
        <w:t>medRxiv.</w:t>
      </w:r>
      <w:r>
        <w:t xml:space="preserve"> 2025. doi:10.1101/2025.03.20.25324352. Dataset: Zenodo record 18221260.</w:t>
      </w:r>
    </w:p>
    <w:p>
      <w:pPr>
        <w:spacing w:line="276" w:lineRule="auto" w:after="60"/>
        <w:ind w:left="425" w:hanging="425"/>
      </w:pPr>
      <w:r>
        <w:t xml:space="preserve">5. Gjoka A, Cordell HJ. Fine-mapping the results from genome-wide association studies of primary biliary cholangitis using SuSiE and h2-D2. </w:t>
      </w:r>
      <w:r>
        <w:rPr>
          <w:i/>
        </w:rPr>
        <w:t>Genet Epidemiol.</w:t>
      </w:r>
      <w:r>
        <w:t xml:space="preserve"> 2025;49:e22592. doi:10.1002/gepi.22592.</w:t>
      </w:r>
    </w:p>
    <w:p>
      <w:pPr>
        <w:spacing w:line="276" w:lineRule="auto" w:after="60"/>
        <w:ind w:left="425" w:hanging="425"/>
      </w:pPr>
      <w:r>
        <w:t xml:space="preserve">6. Giambartolomei C, Vukcevic D, Schadt EE, et al. Bayesian test for colocalisation between pairs of genetic association studies using summary statistics. </w:t>
      </w:r>
      <w:r>
        <w:rPr>
          <w:i/>
        </w:rPr>
        <w:t>PLoS Genet.</w:t>
      </w:r>
      <w:r>
        <w:t xml:space="preserve"> 2014;10:e1004383. doi:10.1371/journal.pgen.1004383.</w:t>
      </w:r>
    </w:p>
    <w:p>
      <w:pPr>
        <w:spacing w:line="276" w:lineRule="auto" w:after="60"/>
        <w:ind w:left="425" w:hanging="425"/>
      </w:pPr>
      <w:r>
        <w:t xml:space="preserve">7. Wang G, Sarkar A, Carbonetto P, Stephens M. A simple new approach to variable selection in regression, with application to genetic fine mapping. </w:t>
      </w:r>
      <w:r>
        <w:rPr>
          <w:i/>
        </w:rPr>
        <w:t>J R Stat Soc Series B Stat Methodol.</w:t>
      </w:r>
      <w:r>
        <w:t xml:space="preserve"> 2020;82:1273–1300. doi:10.1111/rssb.12388.</w:t>
      </w:r>
    </w:p>
    <w:p>
      <w:pPr>
        <w:spacing w:line="276" w:lineRule="auto" w:after="60"/>
        <w:ind w:left="425" w:hanging="425"/>
      </w:pPr>
      <w:r>
        <w:t xml:space="preserve">8. Wallace C. A more accurate method for colocalisation analysis allowing for multiple causal variants. </w:t>
      </w:r>
      <w:r>
        <w:rPr>
          <w:i/>
        </w:rPr>
        <w:t>PLoS Genet.</w:t>
      </w:r>
      <w:r>
        <w:t xml:space="preserve"> 2021;17:e1009440. doi:10.1371/journal.pgen.1009440.</w:t>
      </w:r>
    </w:p>
    <w:p>
      <w:pPr>
        <w:spacing w:line="276" w:lineRule="auto" w:after="60"/>
        <w:ind w:left="425" w:hanging="425"/>
      </w:pPr>
      <w:r>
        <w:t xml:space="preserve">9. Jin C, Jiang P, Zhang Z, et al. Single-cell RNA sequencing reveals the pro-inflammatory roles of liver-resident Th1-like cells in primary biliary cholangitis. </w:t>
      </w:r>
      <w:r>
        <w:rPr>
          <w:i/>
        </w:rPr>
        <w:t>Nat Commun.</w:t>
      </w:r>
      <w:r>
        <w:t xml:space="preserve"> 2024;15:8690. doi:10.1038/s41467-024-53104-9.</w:t>
      </w:r>
    </w:p>
    <w:p>
      <w:pPr>
        <w:spacing w:line="276" w:lineRule="auto" w:after="60"/>
        <w:ind w:left="425" w:hanging="425"/>
      </w:pPr>
      <w:r>
        <w:t xml:space="preserve">10. Han Z, Ran Y, Liu R, et al. FCRL3 as a potential link between Benzo[a]pyrene exposure and primary biliary cholangitis: insights from comparative toxicogenomics and multi-omics analysis. </w:t>
      </w:r>
      <w:r>
        <w:rPr>
          <w:i/>
        </w:rPr>
        <w:t>BMC Gastroenterol.</w:t>
      </w:r>
      <w:r>
        <w:t xml:space="preserve"> 2026;26:101. doi:10.1186/s12876-026-04614-x.</w:t>
      </w:r>
    </w:p>
    <w:p>
      <w:pPr>
        <w:spacing w:line="276" w:lineRule="auto" w:after="60"/>
        <w:ind w:left="425" w:hanging="425"/>
      </w:pPr>
      <w:r>
        <w:t xml:space="preserve">11. Wang Q, Yan H, Wang N, Yuan J. Causal genetics prioritizes therapeutic targets and blood signatures in primary biliary cholangitis. </w:t>
      </w:r>
      <w:r>
        <w:rPr>
          <w:i/>
        </w:rPr>
        <w:t>npj Syst Biol Appl.</w:t>
      </w:r>
      <w:r>
        <w:t xml:space="preserve"> 2026. doi:10.1038/s41540-026-00817-w.</w:t>
      </w:r>
    </w:p>
    <w:p>
      <w:pPr>
        <w:spacing w:line="276" w:lineRule="auto" w:after="60"/>
        <w:ind w:left="425" w:hanging="425"/>
      </w:pPr>
      <w:r>
        <w:t xml:space="preserve">12. Lin Y, Xu X, Chen H, Tang H, Hua Y, Mei J. Genetic mechanisms of primary biliary cholangitis and its association with immune cells using Mendelian randomization and biological annotation. </w:t>
      </w:r>
      <w:r>
        <w:rPr>
          <w:i/>
        </w:rPr>
        <w:t>Medicine (Baltimore).</w:t>
      </w:r>
      <w:r>
        <w:t xml:space="preserve"> 2026;105(22):e49146. doi:10.1097/MD.0000000000049146.</w:t>
      </w:r>
    </w:p>
    <w:p>
      <w:pPr>
        <w:spacing w:line="276" w:lineRule="auto" w:after="60"/>
        <w:ind w:left="425" w:hanging="425"/>
      </w:pPr>
      <w:r>
        <w:t xml:space="preserve">13. Xi J, Wang S, Chen J, et al. Exploration and discovery of treatment targets for primary biliary cholangitis based on plasma and cerebrospinal fluid proteomics: a multicenter Mendelian randomization study. </w:t>
      </w:r>
      <w:r>
        <w:rPr>
          <w:i/>
        </w:rPr>
        <w:t>PLoS One.</w:t>
      </w:r>
      <w:r>
        <w:t xml:space="preserve"> 2026;21(2):e0340166. doi:10.1371/journal.pone.0340166.</w:t>
      </w:r>
    </w:p>
    <w:p>
      <w:pPr>
        <w:spacing w:line="276" w:lineRule="auto" w:after="60"/>
        <w:ind w:left="425" w:hanging="425"/>
      </w:pPr>
      <w:r>
        <w:t>14. NHGRI-EBI GWAS Catalog. Study GCST90061440. https://www.ebi.ac.uk/gwas/studies/GCST90061440. Accessed 30 Sep 2026.</w:t>
      </w:r>
    </w:p>
    <w:p>
      <w:pPr>
        <w:spacing w:line="276" w:lineRule="auto" w:after="60"/>
        <w:ind w:left="425" w:hanging="425"/>
      </w:pPr>
      <w:r>
        <w:t>15. Cordell HJ, Gjoka A. PBC fine-mapping summary statistics and study-derived LD archive. https://www.staff.ncl.ac.uk/heather.cordell/GjokaPaper.html. Accessed 30 Sep 2026.</w:t>
      </w:r>
    </w:p>
    <w:p>
      <w:pPr>
        <w:spacing w:line="276" w:lineRule="auto" w:after="60"/>
        <w:ind w:left="425" w:hanging="425"/>
      </w:pPr>
      <w:r>
        <w:t>16. Xue A, et al. OneK1K cell-specific cis-eQTL summary statistics, genotypes and covariates. Zenodo. 2026. https://doi.org/10.5281/zenodo.18910121.</w:t>
      </w:r>
    </w:p>
    <w:p>
      <w:pPr>
        <w:spacing w:line="276" w:lineRule="auto" w:after="60"/>
        <w:ind w:left="425" w:hanging="425"/>
      </w:pPr>
      <w:r>
        <w:t>17. Cuomo ASE, et al. TenK10K phase 1 molecular-QTL and fine-mapping resources. Zenodo. 2026. https://doi.org/10.5281/zenodo.18221260.</w:t>
      </w:r>
    </w:p>
    <w:p>
      <w:pPr>
        <w:spacing w:line="276" w:lineRule="auto" w:after="60"/>
        <w:ind w:left="425" w:hanging="425"/>
      </w:pPr>
      <w:r>
        <w:t>18. National Genomics Data Center. GSA-Human HRA008003. https://ngdc.cncb.ac.cn/gsa-human/browse/HRA008003. Accessed 30 Sep 2026.</w:t>
      </w:r>
    </w:p>
    <w:p>
      <w:pPr>
        <w:spacing w:line="276" w:lineRule="auto" w:after="60"/>
        <w:ind w:left="425" w:hanging="425"/>
      </w:pPr>
      <w:r>
        <w:t>19. Open Regulatory Evidence Project. Analysis code, frozen protocols and aggregate results. GitHub. https://github.com/1209433622cz-maker/igan-open-regulatory-evidence. Accessed 30 Sep 2026.</w:t>
      </w:r>
    </w:p>
    <w:p>
      <w:pPr>
        <w:pStyle w:val="Heading1"/>
      </w:pPr>
      <w:r>
        <w:t>Figure legends</w:t>
      </w:r>
    </w:p>
    <w:p>
      <w:pPr>
        <w:ind w:firstLine="0"/>
      </w:pPr>
      <w:r>
        <w:rPr>
          <w:b/>
        </w:rPr>
        <w:t>Figure 1. Prespecified evidence architecture for established PBC loci.</w:t>
      </w:r>
      <w:r>
        <w:t xml:space="preserve"> The protocol-frozen workflow begins with validated European PBC summary statistics and study-derived disease LD, proceeds through a frozen OneK1K gene–cell screen, reconstructs cell-specific model-matched QTL LD for triggered comparisons, and requires multi-signal stability before cross-resource TenK10K eQTL replication using the same PBC GWAS. HRA008003 liver data provide an orthogonal target–lineage detectability and case–control boundary. Negative and uninformative results remain in the final hierarchy.</w:t>
      </w:r>
    </w:p>
    <w:p>
      <w:r>
        <w:rPr>
          <w:b/>
        </w:rPr>
        <w:t>Abbreviations:</w:t>
      </w:r>
      <w:r>
        <w:t xml:space="preserve"> eQTL, expression quantitative trait locus; LD, linkage disequilibrium; PBC, primary biliary cholangitis.</w:t>
      </w:r>
    </w:p>
    <w:p>
      <w:pPr>
        <w:ind w:firstLine="0"/>
      </w:pPr>
      <w:r>
        <w:rPr>
          <w:b/>
        </w:rPr>
        <w:t>Figure 2. IL12RB2-NK signal sharing across OneK1K and TenK10K.</w:t>
      </w:r>
      <w:r>
        <w:t xml:space="preserve"> OneK1K source-matched multi-signal analysis remained supportive across PF10/PF50 and L=5/10/20 configurations and under the skeptical shared-signal prior. TenK10K NK cells reproduced the result across 396 exact-overlap variants under a single-causal model using the same PBC GWAS. Posterior probabilities quantify signal sharing and do not demonstrate expression mediation or independent disease replication.</w:t>
      </w:r>
    </w:p>
    <w:p>
      <w:r>
        <w:rPr>
          <w:b/>
        </w:rPr>
        <w:t>Abbreviations:</w:t>
      </w:r>
      <w:r>
        <w:t xml:space="preserve"> H3, posterior hypothesis of distinct association signals; H4, posterior hypothesis of a shared signal; NK, natural killer; PP, posterior probability.</w:t>
      </w:r>
    </w:p>
    <w:p>
      <w:pPr>
        <w:ind w:firstLine="0"/>
      </w:pPr>
      <w:r>
        <w:rPr>
          <w:b/>
        </w:rPr>
        <w:t>Figure 3. FCRL3 signal sharing depends on cell context and multi-signal resolution.</w:t>
      </w:r>
      <w:r>
        <w:t xml:space="preserve"> Stable OneK1K support was observed in intermediate B, memory B, naïve CD4 T, NK, and resting NK cells. The default signal-level gate was PP.H4≥0.80 with H4/(H3+H4)≥0.80, whereas the skeptical-prior stress test required H4/(H3+H4)≥0.50; the two thresholds are shown separately. The effector T-cell comparison changed from single-causal PP.H4=0.9413 to multi-signal PP.H4=0.0036 with H3 predominance, showing that an apparently favorable screen can represent distinct local signals. The uninformative CD8_NC comparison was not promoted.</w:t>
      </w:r>
    </w:p>
    <w:p>
      <w:r>
        <w:rPr>
          <w:b/>
        </w:rPr>
        <w:t>Abbreviations:</w:t>
      </w:r>
      <w:r>
        <w:t xml:space="preserve"> B_IN, intermediate B cell; B_MEM, memory B cell; CD4_NC, naïve CD4 T cell; CD8_ET, effector T cell; CD8_NC, naïve CD8 T cell; NK_R, resting NK cell.</w:t>
      </w:r>
    </w:p>
    <w:p>
      <w:pPr>
        <w:ind w:firstLine="0"/>
      </w:pPr>
      <w:r>
        <w:rPr>
          <w:b/>
        </w:rPr>
        <w:t>Figure 4. Cross-resource replication of the two primary immune-cell axes.</w:t>
      </w:r>
      <w:r>
        <w:t xml:space="preserve"> TenK10K replication used the same PBC GWAS input and 343 exact-overlap variants for FCRL3 in intermediate B cells and 396 for IL12RB2 in NK cells. Bars or points display PP.H4 and H4/(H3+H4) under p12=1×10−6, 1×10−5, and 1×10−4. The low-prior result is the principal stress test. This panel demonstrates replication in an independent molecular-QTL resource, not an independent disease cohort.</w:t>
      </w:r>
    </w:p>
    <w:p>
      <w:r>
        <w:rPr>
          <w:b/>
        </w:rPr>
        <w:t>Abbreviations:</w:t>
      </w:r>
      <w:r>
        <w:t xml:space="preserve"> H3, distinct signals; H4, shared signal; p12, prior probability that a variant is associated with both traits.</w:t>
      </w:r>
    </w:p>
    <w:p>
      <w:pPr>
        <w:ind w:firstLine="0"/>
      </w:pPr>
      <w:r>
        <w:rPr>
          <w:b/>
        </w:rPr>
        <w:t>Figure 5. PBC liver target-panel results preserve the tissue null boundary.</w:t>
      </w:r>
      <w:r>
        <w:t xml:space="preserve"> FCRL3 CPM within the prespecified B-lineage gate and IL12RB2 CPM within the NK-lineage gate are shown for five PBC and five non-lesion liver control donors. Both targets were detectable in all donors. Exact 5-versus-5 label-permutation tests yielded P=0.1111 for FCRL3–B and P=0.06349 for IL12RB2–NK; both two-target BH-adjusted q values were 0.1111.</w:t>
      </w:r>
    </w:p>
    <w:p>
      <w:r>
        <w:rPr>
          <w:b/>
        </w:rPr>
        <w:t>Abbreviations:</w:t>
      </w:r>
      <w:r>
        <w:t xml:space="preserve"> BH, Benjamini–Hochberg; CPM, counts per million lineage UMIs; UMI, unique molecular identifier.</w:t>
      </w:r>
    </w:p>
    <w:p>
      <w:pPr>
        <w:ind w:firstLine="0"/>
      </w:pPr>
      <w:r>
        <w:rPr>
          <w:b/>
        </w:rPr>
        <w:t>Figure 6. Integrated evidence hierarchy and claim ceiling.</w:t>
      </w:r>
      <w:r>
        <w:t xml:space="preserve"> FCRL3–B and IL12RB2–NK show disease–eQTL signal sharing supported across two independent single-cell eQTL resources; the TenK10K layer reuses the same PBC GWAS. Liver data support target–lineage observability but not corrected disease-specific enrichment. CD8_ET and INAVA results constrain generalization. The reader-facing claim ceiling is replicated association/signal sharing; mediation, mechanism, and therapeutic utility remain untested.</w:t>
      </w:r>
    </w:p>
    <w:p>
      <w:pPr>
        <w:pStyle w:val="Heading1"/>
      </w:pPr>
      <w:r>
        <w:t>Additional files</w:t>
      </w:r>
    </w:p>
    <w:p>
      <w:pPr>
        <w:ind w:firstLine="0"/>
      </w:pPr>
      <w:r>
        <w:rPr>
          <w:b/>
        </w:rPr>
        <w:t>Additional file 1.</w:t>
      </w:r>
      <w:r>
        <w:t xml:space="preserve"> </w:t>
      </w:r>
      <w:r>
        <w:rPr>
          <w:rFonts w:ascii="Courier New" w:hAnsi="Courier New"/>
          <w:sz w:val="19"/>
        </w:rPr>
        <w:t>Additional_file_1_R7A2A5_Supplementary_Tables.xlsx</w:t>
      </w:r>
      <w:r>
        <w:t xml:space="preserve"> (Microsoft Excel workbook). Supplementary Tables S1-S10 provide the source manifest, frozen comparison universe, complete screening and signal-level results, source-LD quality control, credible-set members, cross-resource replication, donor-level liver metrics, tissue sensitivity analyses, and claim-evidence ledger.</w:t>
      </w:r>
    </w:p>
    <w:p>
      <w:pPr>
        <w:ind w:firstLine="0"/>
      </w:pPr>
      <w:r>
        <w:rPr>
          <w:b/>
        </w:rPr>
        <w:t>Additional file 2.</w:t>
      </w:r>
      <w:r>
        <w:t xml:space="preserve"> </w:t>
      </w:r>
      <w:r>
        <w:rPr>
          <w:rFonts w:ascii="Courier New" w:hAnsi="Courier New"/>
          <w:sz w:val="19"/>
        </w:rPr>
        <w:t>Supplementary_Figure_S1_INAVA_uninformative.png</w:t>
      </w:r>
      <w:r>
        <w:t xml:space="preserve"> (PNG). INAVA weak-QTL and prior-sensitivity control.</w:t>
      </w:r>
    </w:p>
    <w:p>
      <w:pPr>
        <w:ind w:firstLine="0"/>
      </w:pPr>
      <w:r>
        <w:rPr>
          <w:b/>
        </w:rPr>
        <w:t>Additional file 3.</w:t>
      </w:r>
      <w:r>
        <w:t xml:space="preserve"> </w:t>
      </w:r>
      <w:r>
        <w:rPr>
          <w:rFonts w:ascii="Courier New" w:hAnsi="Courier New"/>
          <w:sz w:val="19"/>
        </w:rPr>
        <w:t>Supplementary_Figure_S2_Python_vs_R_coloc.png</w:t>
      </w:r>
      <w:r>
        <w:t xml:space="preserve"> (PNG). Agreement between the Python ABF implementation and official R coloc.</w:t>
      </w:r>
    </w:p>
    <w:p>
      <w:pPr>
        <w:ind w:firstLine="0"/>
      </w:pPr>
      <w:r>
        <w:rPr>
          <w:b/>
        </w:rPr>
        <w:t>Additional file 4.</w:t>
      </w:r>
      <w:r>
        <w:t xml:space="preserve"> </w:t>
      </w:r>
      <w:r>
        <w:rPr>
          <w:rFonts w:ascii="Courier New" w:hAnsi="Courier New"/>
          <w:sz w:val="19"/>
        </w:rPr>
        <w:t>Supplementary_Figure_S3_source_LD_QC.png</w:t>
      </w:r>
      <w:r>
        <w:t xml:space="preserve"> (PNG). Source-LD and covariate-residualized LD quality-control summary.</w:t>
      </w:r>
    </w:p>
    <w:p>
      <w:pPr>
        <w:ind w:firstLine="0"/>
      </w:pPr>
      <w:r>
        <w:rPr>
          <w:b/>
        </w:rPr>
        <w:t>Additional file 5.</w:t>
      </w:r>
      <w:r>
        <w:t xml:space="preserve"> </w:t>
      </w:r>
      <w:r>
        <w:rPr>
          <w:rFonts w:ascii="Courier New" w:hAnsi="Courier New"/>
          <w:sz w:val="19"/>
        </w:rPr>
        <w:t>Supplementary_Figure_S4_LODO_tissue_sensitivity.png</w:t>
      </w:r>
      <w:r>
        <w:t xml:space="preserve"> (PNG). Leave-one-donor-out range for the two prespecified liver endpoints.</w:t>
      </w:r>
    </w:p>
    <w:p>
      <w:pPr>
        <w:pStyle w:val="Heading1"/>
      </w:pPr>
      <w:r>
        <w:t>Supplementary table and figure legends</w:t>
      </w:r>
    </w:p>
    <w:p>
      <w:r>
        <w:rPr>
          <w:b/>
        </w:rPr>
        <w:t>Supplementary Table S1. Data-source, accession, byte-count, and checksum manifest.</w:t>
      </w:r>
    </w:p>
    <w:p>
      <w:r>
        <w:rPr>
          <w:b/>
        </w:rPr>
        <w:t>Supplementary Table S2. Frozen candidate/control universe and selection rationale.</w:t>
      </w:r>
      <w:r>
        <w:t xml:space="preserve"> The table lists the three genes, nine OneK1K cell–gene comparisons, cytobands, disease-locus indices, GRCh37 regions, and prespecified force-multi-signal status.</w:t>
      </w:r>
    </w:p>
    <w:p>
      <w:r>
        <w:rPr>
          <w:b/>
        </w:rPr>
        <w:t>Supplementary Table S3. Single-causal ABF colocalization results for all nine frozen comparisons.</w:t>
      </w:r>
      <w:r>
        <w:t xml:space="preserve"> Results include common-variant counts, QTL donor counts, minimum P values, posterior hypotheses, p12 sensitivity, and frozen classification.</w:t>
      </w:r>
    </w:p>
    <w:p>
      <w:r>
        <w:rPr>
          <w:b/>
        </w:rPr>
        <w:t>Supplementary Table S4. Source-matched QTL LD construction and quality control.</w:t>
      </w:r>
      <w:r>
        <w:t xml:space="preserve"> Cell-specific active-donor counts, variant counts, covariate specifications, matrix identity, symmetry, diagonal, rank, finite-value, and positive-semidefinite checks are reported.</w:t>
      </w:r>
    </w:p>
    <w:p>
      <w:r>
        <w:rPr>
          <w:b/>
        </w:rPr>
        <w:t>Supplementary Table S5. SuSiE-RSS fit and signal-pair colocalization results.</w:t>
      </w:r>
      <w:r>
        <w:t xml:space="preserve"> All 28 disease/QTL model configurations and all evaluated signal pairs are retained with convergence, credible-set counts, posterior probabilities, and prior sensitivity.</w:t>
      </w:r>
    </w:p>
    <w:p>
      <w:r>
        <w:rPr>
          <w:b/>
        </w:rPr>
        <w:t>Supplementary Table S6. Disease and QTL credible-set members.</w:t>
      </w:r>
      <w:r>
        <w:t xml:space="preserve"> Variant identifiers, aligned alleles, posterior inclusion probabilities, credible-set membership, and source-file provenance are reported.</w:t>
      </w:r>
    </w:p>
    <w:p>
      <w:r>
        <w:rPr>
          <w:b/>
        </w:rPr>
        <w:t>Supplementary Table S7. TenK10K cross-resource replication results.</w:t>
      </w:r>
      <w:r>
        <w:t xml:space="preserve"> Exact-overlap counts and posterior probabilities under all three p12 values are shown for FCRL3/intermediate B and IL12RB2/NK, with source credible-set membership where available.</w:t>
      </w:r>
    </w:p>
    <w:p>
      <w:r>
        <w:rPr>
          <w:b/>
        </w:rPr>
        <w:t>Supplementary Table S8. HRA008003 donor-level target-panel metrics.</w:t>
      </w:r>
      <w:r>
        <w:t xml:space="preserve"> Called cells, lineage-cell counts, target-positive cells, target UMIs, lineage UMIs, CPM, and technical QC are reported for all ten donors.</w:t>
      </w:r>
    </w:p>
    <w:p>
      <w:r>
        <w:rPr>
          <w:b/>
        </w:rPr>
        <w:t>Supplementary Table S9. Exact permutation and leave-one-donor-out tissue sensitivity analyses.</w:t>
      </w:r>
      <w:r>
        <w:t xml:space="preserve"> Primary log1p CPM comparisons, unadjusted exact P values, two-target BH q values, and direction stability are shown.</w:t>
      </w:r>
    </w:p>
    <w:p>
      <w:r>
        <w:rPr>
          <w:b/>
        </w:rPr>
        <w:t>Supplementary Table S10. Claim–evidence ledger.</w:t>
      </w:r>
      <w:r>
        <w:t xml:space="preserve"> Each central claim is linked to its evidence layer, evidence tier, allowed wording, prohibited wording, and falsifying next test.</w:t>
      </w:r>
    </w:p>
    <w:p>
      <w:r>
        <w:rPr>
          <w:b/>
        </w:rPr>
        <w:t>Supplementary Figure S1. INAVA remains uninformative in the frozen OneK1K comparison.</w:t>
      </w:r>
      <w:r>
        <w:t xml:space="preserve"> The weak CD4_NC eQTL and prior-sensitive low PP.H4 are displayed without interpreting the result as evidence against any role for INAVA in PBC.</w:t>
      </w:r>
    </w:p>
    <w:p>
      <w:r>
        <w:rPr>
          <w:b/>
        </w:rPr>
        <w:t>Supplementary Figure S2. Agreement between the Python ABF implementation and official R coloc.</w:t>
      </w:r>
      <w:r>
        <w:t xml:space="preserve"> Posterior differences for all frozen comparisons demonstrate numerical agreement, with a maximum absolute difference of 1.44×10−15.</w:t>
      </w:r>
    </w:p>
    <w:p>
      <w:r>
        <w:rPr>
          <w:b/>
        </w:rPr>
        <w:t>Supplementary Figure S3. Source-LD and residual-LD quality-control diagnostics.</w:t>
      </w:r>
      <w:r>
        <w:t xml:space="preserve"> Raw, PF10-residualized, and PF50-residualized matrices are compared for all seven promoted cell–gene combinations.</w:t>
      </w:r>
    </w:p>
    <w:p>
      <w:r>
        <w:rPr>
          <w:b/>
        </w:rPr>
        <w:t>Supplementary Figure S4. Leave-one-donor-out sensitivity of liver target directions.</w:t>
      </w:r>
      <w:r>
        <w:t xml:space="preserve"> The PBC-minus-control mean log1p CPM difference is recalculated after removing each donor. Directional stability is shown separately from statistical significance.</w:t>
      </w:r>
    </w:p>
    <w:sectPr w:rsidR="00FC693F" w:rsidRPr="0006063C" w:rsidSect="00034616">
      <w:footerReference w:type="default" r:id="rId9"/>
      <w:pgSz w:w="11906" w:h="16838"/>
      <w:pgMar w:top="1417" w:right="1417" w:bottom="1417" w:left="1701" w:header="720" w:footer="720" w:gutter="0"/>
      <w:cols w:space="720"/>
      <w:docGrid w:linePitch="360"/>
      <w:lnNumType w:countBy="1" w:restart="continuous"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25"/>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ind w:firstLine="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60"/>
      <w:ind w:firstLine="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ind w:firstLine="0"/>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Source-matched multi-signal colocalization resolves cross-resource immune-cell regulatory signal sharing in primary biliary cholangitis</dc:title>
  <dc:subject>Human Genomics Research manuscript - R7A2A5 submission-format draft</dc:subject>
  <dc:creator>python-docx</dc:creator>
  <cp:keywords>primary biliary cholangitis, colocalization, single-cell eQTL, source-matched LD</cp:keywords>
  <dc:description>Author metadata and declarations contain explicit placeholders and must be completed before submission.</dc:description>
  <cp:lastModifiedBy/>
  <cp:revision>1</cp:revision>
  <dcterms:created xsi:type="dcterms:W3CDTF">2013-12-23T23:15:00Z</dcterms:created>
  <dcterms:modified xsi:type="dcterms:W3CDTF">2013-12-23T23:15:00Z</dcterms:modified>
  <cp:category/>
</cp:coreProperties>
</file>