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60"/>
        <w:jc w:val="center"/>
      </w:pPr>
      <w:r>
        <w:rPr>
          <w:rFonts w:ascii="Calibri" w:hAnsi="Calibri" w:eastAsia="Noto Sans CJK SC"/>
          <w:b/>
          <w:color w:val="326586"/>
          <w:sz w:val="36"/>
        </w:rPr>
        <w:t>RESEARCH PROPOSAL  v4</w:t>
      </w:r>
    </w:p>
    <w:p>
      <w:pPr>
        <w:spacing w:before="240" w:after="200"/>
        <w:jc w:val="center"/>
      </w:pPr>
      <w:r>
        <w:rPr>
          <w:rFonts w:ascii="Calibri" w:hAnsi="Calibri" w:eastAsia="Noto Sans CJK SC"/>
          <w:b/>
          <w:color w:val="234563"/>
          <w:sz w:val="38"/>
        </w:rPr>
        <w:t>原发性胆汁性胆管炎风险位点</w:t>
        <w:br/>
        <w:t>免疫细胞调控归因的可靠性与跨资源验证</w:t>
      </w:r>
    </w:p>
    <w:p>
      <w:pPr>
        <w:spacing w:after="420"/>
        <w:jc w:val="center"/>
      </w:pPr>
      <w:r>
        <w:rPr>
          <w:rFonts w:ascii="Calibri" w:hAnsi="Calibri" w:eastAsia="Noto Sans CJK SC"/>
          <w:color w:val="253545"/>
          <w:sz w:val="24"/>
        </w:rPr>
        <w:t>从同输入多信号重分类到可证伪的统计遗传学评价：</w:t>
        <w:br/>
        <w:t>SCI 一区／二区双轨证据升级方案</w:t>
      </w:r>
    </w:p>
    <w:p>
      <w:pPr>
        <w:spacing w:after="400"/>
        <w:jc w:val="center"/>
      </w:pPr>
      <w:r>
        <w:rPr>
          <w:rFonts w:ascii="Calibri" w:hAnsi="Calibri" w:eastAsia="Noto Sans CJK SC"/>
          <w:color w:val="596573"/>
          <w:sz w:val="18"/>
        </w:rPr>
        <w:t>Evidence-constrained appraisal • 2026-10-11 • QiTeng v0.3.24.2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43"/>
        <w:gridCol w:w="4943"/>
      </w:tblGrid>
      <w:tr>
        <w:trPr>
          <w:tblHeader w:val="true"/>
          <w:cantSplit/>
        </w:trPr>
        <w:tc>
          <w:tcPr>
            <w:tcW w:type="dxa" w:w="4943"/>
            <w:shd w:fill="234563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Noto Sans CJK SC"/>
                <w:b/>
                <w:color w:val="FFFFFF"/>
                <w:sz w:val="18"/>
              </w:rPr>
              <w:t>研究要素</w:t>
            </w:r>
          </w:p>
        </w:tc>
        <w:tc>
          <w:tcPr>
            <w:tcW w:type="dxa" w:w="4943"/>
            <w:shd w:fill="234563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Noto Sans CJK SC"/>
                <w:b/>
                <w:color w:val="FFFFFF"/>
                <w:sz w:val="18"/>
              </w:rPr>
              <w:t>RP v4 定义</w:t>
            </w:r>
          </w:p>
        </w:tc>
      </w:tr>
      <w:tr>
        <w:trPr>
          <w:cantSplit/>
        </w:trPr>
        <w:tc>
          <w:tcPr>
            <w:tcW w:type="dxa" w:w="4943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当前项目</w:t>
            </w:r>
          </w:p>
        </w:tc>
        <w:tc>
          <w:tcPr>
            <w:tcW w:type="dxa" w:w="4943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保留 PBC；不重选病种；从已完成 R7B4B2 作者批准的投稿候选版本继续。</w:t>
            </w:r>
          </w:p>
        </w:tc>
      </w:tr>
      <w:tr>
        <w:trPr>
          <w:cantSplit/>
        </w:trPr>
        <w:tc>
          <w:tcPr>
            <w:tcW w:type="dxa" w:w="4943"/>
            <w:vAlign w:val="center"/>
            <w:shd w:fill="F5F8FA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核心科学问题</w:t>
            </w:r>
          </w:p>
        </w:tc>
        <w:tc>
          <w:tcPr>
            <w:tcW w:type="dxa" w:w="4943"/>
            <w:vAlign w:val="center"/>
            <w:shd w:fill="F5F8FA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输入/LD/统计假设改变时，哪些 PBC 免疫细胞调控信号对仍可稳定解释，哪些仅为模型依赖或无信息？</w:t>
            </w:r>
          </w:p>
        </w:tc>
      </w:tr>
      <w:tr>
        <w:trPr>
          <w:cantSplit/>
        </w:trPr>
        <w:tc>
          <w:tcPr>
            <w:tcW w:type="dxa" w:w="4943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研究定位</w:t>
            </w:r>
          </w:p>
        </w:tc>
        <w:tc>
          <w:tcPr>
            <w:tcW w:type="dxa" w:w="4943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疾病聚焦的统计遗传学与调控归因可靠性研究；不自称新算法、因果机制验证或临床靶点发现。</w:t>
            </w:r>
          </w:p>
        </w:tc>
      </w:tr>
      <w:tr>
        <w:trPr>
          <w:cantSplit/>
        </w:trPr>
        <w:tc>
          <w:tcPr>
            <w:tcW w:type="dxa" w:w="4943"/>
            <w:vAlign w:val="center"/>
            <w:shd w:fill="F5F8FA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冻结范围</w:t>
            </w:r>
          </w:p>
        </w:tc>
        <w:tc>
          <w:tcPr>
            <w:tcW w:type="dxa" w:w="4943"/>
            <w:vAlign w:val="center"/>
            <w:shd w:fill="F5F8FA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56 个非 HLA 区域；14 个 OneK 细胞标签；6,923 登记、5,460 ABF 可分析、642 高信息多信号比较。</w:t>
            </w:r>
          </w:p>
        </w:tc>
      </w:tr>
      <w:tr>
        <w:trPr>
          <w:cantSplit/>
        </w:trPr>
        <w:tc>
          <w:tcPr>
            <w:tcW w:type="dxa" w:w="4943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最新科学状态</w:t>
            </w:r>
          </w:p>
        </w:tc>
        <w:tc>
          <w:tcPr>
            <w:tcW w:type="dxa" w:w="4943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A0/A1/A2/M 已完成；R7B3A 文图与补充材料完成；R7B4B2 公开 release 已发布，Zenodo DOI 尚待账户操作。</w:t>
            </w:r>
          </w:p>
        </w:tc>
      </w:tr>
      <w:tr>
        <w:trPr>
          <w:cantSplit/>
        </w:trPr>
        <w:tc>
          <w:tcPr>
            <w:tcW w:type="dxa" w:w="4943"/>
            <w:vAlign w:val="center"/>
            <w:shd w:fill="F5F8FA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期刊路线</w:t>
            </w:r>
          </w:p>
        </w:tc>
        <w:tc>
          <w:tcPr>
            <w:tcW w:type="dxa" w:w="4943"/>
            <w:vAlign w:val="center"/>
            <w:shd w:fill="F5F8FA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保留原 Human Genomics 投稿候选为受保护基线；新 Q1/Q2 双轨证据门通过后再决定是否升级或维持投稿。</w:t>
            </w:r>
          </w:p>
        </w:tc>
      </w:tr>
      <w:tr>
        <w:trPr>
          <w:cantSplit/>
        </w:trPr>
        <w:tc>
          <w:tcPr>
            <w:tcW w:type="dxa" w:w="4943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不自动执行</w:t>
            </w:r>
          </w:p>
        </w:tc>
        <w:tc>
          <w:tcPr>
            <w:tcW w:type="dxa" w:w="4943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不投稿、不变更作者批准、不覆盖 R7B4B2、不宣称新数据分析已完成或已获得 DOI。</w:t>
            </w:r>
          </w:p>
        </w:tc>
      </w:tr>
      <w:tr>
        <w:trPr>
          <w:cantSplit/>
        </w:trPr>
        <w:tc>
          <w:tcPr>
            <w:tcW w:type="dxa" w:w="4943"/>
            <w:vAlign w:val="center"/>
            <w:shd w:fill="F5F8FA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产出</w:t>
            </w:r>
          </w:p>
        </w:tc>
        <w:tc>
          <w:tcPr>
            <w:tcW w:type="dxa" w:w="4943"/>
            <w:vAlign w:val="center"/>
            <w:shd w:fill="F5F8FA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正式 RP v4 + 可执行阶段门 + 低成本优先的研究补强清单 + 失败退出策略。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887"/>
      </w:tblGrid>
      <w:tr>
        <w:tc>
          <w:tcPr>
            <w:tcW w:type="dxa" w:w="9887"/>
            <w:shd w:fill="EEF3F7"/>
          </w:tcPr>
          <w:p>
            <w:pPr>
              <w:spacing w:after="80"/>
            </w:pPr>
            <w:r>
              <w:rPr>
                <w:rFonts w:ascii="Calibri" w:hAnsi="Calibri" w:eastAsia="Noto Sans CJK SC"/>
                <w:b/>
                <w:color w:val="234563"/>
                <w:sz w:val="20"/>
              </w:rPr>
              <w:t>版本状态：RP v4 不是 R7B4B2 的替换稿</w:t>
            </w:r>
          </w:p>
          <w:p>
            <w:pPr>
              <w:spacing w:after="40" w:line="286" w:lineRule="auto"/>
            </w:pPr>
            <w:r>
              <w:rPr>
                <w:rFonts w:ascii="Calibri" w:hAnsi="Calibri" w:eastAsia="Noto Sans CJK SC"/>
                <w:sz w:val="19"/>
              </w:rPr>
              <w:t>本研究计划书是最新科学重审与未来研究约束，以上游作者批准的公开版本为受保护快照。本文中标为「建议／待执行」的敏感性、外部复制和组织复核均未被写成已完成新结果。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执行摘要与导师级裁决</w:t>
      </w:r>
    </w:p>
    <w:p>
      <w:pPr>
        <w:spacing w:after="140"/>
        <w:ind w:firstLine="408"/>
        <w:jc w:val="both"/>
      </w:pPr>
      <w:r>
        <w:rPr>
          <w:rFonts w:ascii="Calibri" w:hAnsi="Calibri" w:eastAsia="Noto Sans CJK SC"/>
          <w:b w:val="0"/>
        </w:rPr>
        <w:t>该项目已经从早期 FCRL3–B / IL12RB2–NK 两轴的共定位论文，发展为固定 PBC 全景筛查、多信号信号对重分类、同输入统计归因、真值模拟、跨 QTL 资源和肝组织边界共同构成的统计遗传学实证评价。最新 GitHub release 记录了作者批准的候选稿、完整图表与开放研究材料；期刊投稿并未完成，Zenodo DOI 也未正式产生。故不应继续沿用 RP v3 所写的“R7B2A 尚未执行”。</w:t>
      </w:r>
    </w:p>
    <w:p>
      <w:pPr>
        <w:spacing w:after="140"/>
        <w:ind w:firstLine="408"/>
        <w:jc w:val="both"/>
      </w:pPr>
      <w:r>
        <w:rPr>
          <w:rFonts w:ascii="Calibri" w:hAnsi="Calibri" w:eastAsia="Noto Sans CJK SC"/>
          <w:b w:val="0"/>
        </w:rPr>
        <w:t>当前最值得保护的证据不是两基因的新颖性，而是 6,923→5,460→642 的可追溯筛查、A0/A1/A2/M 同输入桥接、92/428/59/63 的信号结构、32 项 H4/H3 pair 并存以及 486,000 次模拟揭示的错误调用—检出能力取舍。该体系能够承载一篇范围清楚的 SCI 二区研究，但尚不足以证明一种新统计方法普遍优越，或由 PBMC QTL 直接推导肝脏疾病机制。</w:t>
      </w:r>
    </w:p>
    <w:p>
      <w:pPr>
        <w:spacing w:after="140"/>
        <w:ind w:firstLine="408"/>
        <w:jc w:val="both"/>
      </w:pPr>
      <w:r>
        <w:rPr>
          <w:rFonts w:ascii="Calibri" w:hAnsi="Calibri" w:eastAsia="Noto Sans CJK SC"/>
          <w:b w:val="0"/>
        </w:rPr>
        <w:t>本轮新增了一项低成本、非重拟合的探索性检验：从实际封存的 642 行结果，以 47 个风险区域为聚类单位重抽样 10,000 次。H4 支持比例 92/642=14.33%；重抽样分位区间为 7.43%–21.24%；32/92 的 shared/distinct 并存比例为 34.78%，相应范围为 20.45%–53.53%。这些是固定、结果筛选后的 47 区域的描述性稳定性分析，不是随机抽样总体的正式置信区间，更不能外推到 6,923 个比较。其真正含义是：642 行不能当作独立受试者，一区目标需要在更严格的位点层级与选择机制上建立可信推断。</w:t>
      </w:r>
    </w:p>
    <w:p>
      <w:pPr>
        <w:spacing w:after="140"/>
        <w:ind w:firstLine="408"/>
        <w:jc w:val="both"/>
      </w:pPr>
      <w:r>
        <w:rPr>
          <w:rFonts w:ascii="Calibri" w:hAnsi="Calibri" w:eastAsia="Noto Sans CJK SC"/>
          <w:b w:val="0"/>
        </w:rPr>
        <w:t>RP v4 采取双轨策略。A 轨保护已完成、作者批准的 Q2 投稿候选，仅执行必需的版本、许可、伦理和期刊资格检查；B 轨作为有限期限的 Q1 竞争力增强研究，优先补独立疾病来源的信号级复制、同一变异/可信集身份的独立多组学验证和输入/样本量/先验的定向敏感性。若新增层只带来方向描述或结果不稳定，则不为了追阳性而再次换基因或重建故事，按已完成的证据上限回到 A 轨。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887"/>
      </w:tblGrid>
      <w:tr>
        <w:tc>
          <w:tcPr>
            <w:tcW w:type="dxa" w:w="9887"/>
            <w:shd w:fill="EEF3F7"/>
          </w:tcPr>
          <w:p>
            <w:pPr>
              <w:spacing w:after="80"/>
            </w:pPr>
            <w:r>
              <w:rPr>
                <w:rFonts w:ascii="Calibri" w:hAnsi="Calibri" w:eastAsia="Noto Sans CJK SC"/>
                <w:b/>
                <w:color w:val="234563"/>
                <w:sz w:val="20"/>
              </w:rPr>
              <w:t>最终主决策</w:t>
            </w:r>
          </w:p>
          <w:p>
            <w:pPr>
              <w:spacing w:after="40" w:line="286" w:lineRule="auto"/>
            </w:pPr>
            <w:r>
              <w:rPr>
                <w:rFonts w:ascii="Calibri" w:hAnsi="Calibri" w:eastAsia="Noto Sans CJK SC"/>
                <w:sz w:val="19"/>
              </w:rPr>
              <w:t>RETAIN_PBC；AUTHOR_APPROVED_R7B4B2 = PRESERVE；NEW_SCIENTIFIC_UPGRADE = CONDITIONAL_BOUNDED；Q1 = STRETCH_WITH_HARD_GATE；Q2 = EXISTING_BASELINE_WITH_INSTITUTIONAL_CHECK；NEXT = R7C0_EVIDENCE_UPGRADE_PREFLIGHT。</w:t>
            </w:r>
          </w:p>
        </w:tc>
      </w:tr>
    </w:tbl>
    <w:p>
      <w:pPr>
        <w:spacing w:after="0"/>
      </w:pPr>
    </w:p>
    <w:p>
      <w:pPr>
        <w:pStyle w:val="Heading1"/>
      </w:pPr>
      <w:r>
        <w:t>文档导航与信息状态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96"/>
        <w:gridCol w:w="3296"/>
        <w:gridCol w:w="3296"/>
      </w:tblGrid>
      <w:tr>
        <w:trPr>
          <w:tblHeader w:val="true"/>
          <w:cantSplit/>
        </w:trPr>
        <w:tc>
          <w:tcPr>
            <w:tcW w:type="dxa" w:w="3296"/>
            <w:shd w:fill="234563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Noto Sans CJK SC"/>
                <w:b/>
                <w:color w:val="FFFFFF"/>
                <w:sz w:val="18"/>
              </w:rPr>
              <w:t>板块</w:t>
            </w:r>
          </w:p>
        </w:tc>
        <w:tc>
          <w:tcPr>
            <w:tcW w:type="dxa" w:w="3296"/>
            <w:shd w:fill="234563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Noto Sans CJK SC"/>
                <w:b/>
                <w:color w:val="FFFFFF"/>
                <w:sz w:val="18"/>
              </w:rPr>
              <w:t>章节范围</w:t>
            </w:r>
          </w:p>
        </w:tc>
        <w:tc>
          <w:tcPr>
            <w:tcW w:type="dxa" w:w="3296"/>
            <w:shd w:fill="234563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Noto Sans CJK SC"/>
                <w:b/>
                <w:color w:val="FFFFFF"/>
                <w:sz w:val="18"/>
              </w:rPr>
              <w:t>目标</w:t>
            </w:r>
          </w:p>
        </w:tc>
      </w:tr>
      <w:tr>
        <w:trPr>
          <w:cantSplit/>
        </w:trPr>
        <w:tc>
          <w:tcPr>
            <w:tcW w:type="dxa" w:w="3296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/>
                <w:sz w:val="18"/>
              </w:rPr>
              <w:t>I / 当前裁决</w:t>
            </w:r>
          </w:p>
        </w:tc>
        <w:tc>
          <w:tcPr>
            <w:tcW w:type="dxa" w:w="3296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1–5</w:t>
            </w:r>
          </w:p>
        </w:tc>
        <w:tc>
          <w:tcPr>
            <w:tcW w:type="dxa" w:w="3296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来源与版本权威、进度、创新性及是否换题</w:t>
            </w:r>
          </w:p>
        </w:tc>
      </w:tr>
      <w:tr>
        <w:trPr>
          <w:cantSplit/>
        </w:trPr>
        <w:tc>
          <w:tcPr>
            <w:tcW w:type="dxa" w:w="3296"/>
            <w:vAlign w:val="center"/>
            <w:shd w:fill="F5F8FA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/>
                <w:sz w:val="18"/>
              </w:rPr>
              <w:t>II / 实证评价</w:t>
            </w:r>
          </w:p>
        </w:tc>
        <w:tc>
          <w:tcPr>
            <w:tcW w:type="dxa" w:w="3296"/>
            <w:vAlign w:val="center"/>
            <w:shd w:fill="F5F8FA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6–10</w:t>
            </w:r>
          </w:p>
        </w:tc>
        <w:tc>
          <w:tcPr>
            <w:tcW w:type="dxa" w:w="3296"/>
            <w:vAlign w:val="center"/>
            <w:shd w:fill="F5F8FA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现有转移、模型/聚类稳定性、模拟、医学解释、关键未识别风险</w:t>
            </w:r>
          </w:p>
        </w:tc>
      </w:tr>
      <w:tr>
        <w:trPr>
          <w:cantSplit/>
        </w:trPr>
        <w:tc>
          <w:tcPr>
            <w:tcW w:type="dxa" w:w="3296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/>
                <w:sz w:val="18"/>
              </w:rPr>
              <w:t>III / 补强路线</w:t>
            </w:r>
          </w:p>
        </w:tc>
        <w:tc>
          <w:tcPr>
            <w:tcW w:type="dxa" w:w="3296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11–17</w:t>
            </w:r>
          </w:p>
        </w:tc>
        <w:tc>
          <w:tcPr>
            <w:tcW w:type="dxa" w:w="3296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样本量/先验、FinnGen、公开空间、全景覆盖、校准、可复现性</w:t>
            </w:r>
          </w:p>
        </w:tc>
      </w:tr>
      <w:tr>
        <w:trPr>
          <w:cantSplit/>
        </w:trPr>
        <w:tc>
          <w:tcPr>
            <w:tcW w:type="dxa" w:w="3296"/>
            <w:vAlign w:val="center"/>
            <w:shd w:fill="F5F8FA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/>
                <w:sz w:val="18"/>
              </w:rPr>
              <w:t>IV / 执行决策</w:t>
            </w:r>
          </w:p>
        </w:tc>
        <w:tc>
          <w:tcPr>
            <w:tcW w:type="dxa" w:w="3296"/>
            <w:vAlign w:val="center"/>
            <w:shd w:fill="F5F8FA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18–24</w:t>
            </w:r>
          </w:p>
        </w:tc>
        <w:tc>
          <w:tcPr>
            <w:tcW w:type="dxa" w:w="3296"/>
            <w:vAlign w:val="center"/>
            <w:shd w:fill="F5F8FA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Aims、工作包、硬门、成本与退出、论文及图件、期刊策略</w:t>
            </w:r>
          </w:p>
        </w:tc>
      </w:tr>
      <w:tr>
        <w:trPr>
          <w:cantSplit/>
        </w:trPr>
        <w:tc>
          <w:tcPr>
            <w:tcW w:type="dxa" w:w="3296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/>
                <w:sz w:val="18"/>
              </w:rPr>
              <w:t>附录</w:t>
            </w:r>
          </w:p>
        </w:tc>
        <w:tc>
          <w:tcPr>
            <w:tcW w:type="dxa" w:w="3296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A–E</w:t>
            </w:r>
          </w:p>
        </w:tc>
        <w:tc>
          <w:tcPr>
            <w:tcW w:type="dxa" w:w="3296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数值词典、来源/文献、变更矩阵、代码/数据交接、行动记录</w:t>
            </w:r>
          </w:p>
        </w:tc>
      </w:tr>
    </w:tbl>
    <w:p>
      <w:pPr>
        <w:spacing w:after="0"/>
      </w:pPr>
    </w:p>
    <w:p>
      <w:pPr>
        <w:spacing w:after="140"/>
        <w:jc w:val="both"/>
      </w:pPr>
      <w:r>
        <w:rPr>
          <w:rFonts w:ascii="Calibri" w:hAnsi="Calibri" w:eastAsia="Noto Sans CJK SC"/>
          <w:b w:val="0"/>
        </w:rPr>
        <w:t>全文使用三个显式状态：FROZEN（已有数据与仓库记录）、VERIFIED_THIS_ROUND（本轮对附件或公开源重新核验）、PROPOSED（后续假设与研究计划）。公开仓库记录的作者批准与伦理声明是“仓库所载事实”，并非本轮重新联系作者或机构取得的批准；不能借助写作将其提升为新的外部认证。</w:t>
      </w:r>
    </w:p>
    <w:p>
      <w:pPr>
        <w:pStyle w:val="Heading1"/>
      </w:pPr>
      <w:r>
        <w:t>1. 疾病保留还是重新选题？</w:t>
      </w:r>
    </w:p>
    <w:p>
      <w:pPr>
        <w:pStyle w:val="Heading2"/>
      </w:pPr>
      <w:r>
        <w:t>1.1 不应因为结果缺少“新基因”就换 PBC</w:t>
      </w:r>
    </w:p>
    <w:p>
      <w:pPr>
        <w:spacing w:after="140"/>
        <w:ind w:firstLine="408"/>
        <w:jc w:val="both"/>
      </w:pPr>
      <w:r>
        <w:rPr>
          <w:rFonts w:ascii="Calibri" w:hAnsi="Calibri" w:eastAsia="Noto Sans CJK SC"/>
          <w:b w:val="0"/>
        </w:rPr>
        <w:t>2021 年国际 PBC GWAS 已明确优先化 IL12RB2、FCRL3；2026 年进一步的分子共定位、蛋白和肝免疫工作削弱基因发现式新颖性。但疾病风险位点的来源模型、多个独立信号、不同细胞背景和跨资源一致性仍可成为独立的、可证伪的方法学—生物学解释问题。保留疾病并不意味着为早期研究投入寻找理由；其依据是新问题有现成数据与可执行检验，且无法由现有文章直接回答。</w:t>
      </w:r>
    </w:p>
    <w:p>
      <w:pPr>
        <w:pStyle w:val="Heading2"/>
      </w:pPr>
      <w:r>
        <w:t>1.2 三种方向作正式比较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72"/>
        <w:gridCol w:w="2472"/>
        <w:gridCol w:w="2472"/>
        <w:gridCol w:w="2472"/>
      </w:tblGrid>
      <w:tr>
        <w:trPr>
          <w:tblHeader w:val="true"/>
          <w:cantSplit/>
        </w:trPr>
        <w:tc>
          <w:tcPr>
            <w:tcW w:type="dxa" w:w="2472"/>
            <w:shd w:fill="234563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Noto Sans CJK SC"/>
                <w:b/>
                <w:color w:val="FFFFFF"/>
                <w:sz w:val="18"/>
              </w:rPr>
              <w:t>候选路线</w:t>
            </w:r>
          </w:p>
        </w:tc>
        <w:tc>
          <w:tcPr>
            <w:tcW w:type="dxa" w:w="2472"/>
            <w:shd w:fill="234563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Noto Sans CJK SC"/>
                <w:b/>
                <w:color w:val="FFFFFF"/>
                <w:sz w:val="18"/>
              </w:rPr>
              <w:t>科学可行性与价值</w:t>
            </w:r>
          </w:p>
        </w:tc>
        <w:tc>
          <w:tcPr>
            <w:tcW w:type="dxa" w:w="2472"/>
            <w:shd w:fill="234563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Noto Sans CJK SC"/>
                <w:b/>
                <w:color w:val="FFFFFF"/>
                <w:sz w:val="18"/>
              </w:rPr>
              <w:t>重大风险</w:t>
            </w:r>
          </w:p>
        </w:tc>
        <w:tc>
          <w:tcPr>
            <w:tcW w:type="dxa" w:w="2472"/>
            <w:shd w:fill="234563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Noto Sans CJK SC"/>
                <w:b/>
                <w:color w:val="FFFFFF"/>
                <w:sz w:val="18"/>
              </w:rPr>
              <w:t>RP v4 裁决</w:t>
            </w:r>
          </w:p>
        </w:tc>
      </w:tr>
      <w:tr>
        <w:trPr>
          <w:cantSplit/>
        </w:trPr>
        <w:tc>
          <w:tcPr>
            <w:tcW w:type="dxa" w:w="2472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/>
                <w:sz w:val="17"/>
              </w:rPr>
              <w:t>A. 两基因机制／靶点发现</w:t>
            </w:r>
          </w:p>
        </w:tc>
        <w:tc>
          <w:tcPr>
            <w:tcW w:type="dxa" w:w="2472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可提供代表性机制假设，遗传调控关联较强。</w:t>
            </w:r>
          </w:p>
        </w:tc>
        <w:tc>
          <w:tcPr>
            <w:tcW w:type="dxa" w:w="2472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已有优先权冲突；缺细胞功能扰动、组织遗传介导。</w:t>
            </w:r>
          </w:p>
        </w:tc>
        <w:tc>
          <w:tcPr>
            <w:tcW w:type="dxa" w:w="2472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不采用为论文中心。</w:t>
            </w:r>
          </w:p>
        </w:tc>
      </w:tr>
      <w:tr>
        <w:trPr>
          <w:cantSplit/>
        </w:trPr>
        <w:tc>
          <w:tcPr>
            <w:tcW w:type="dxa" w:w="2472"/>
            <w:vAlign w:val="center"/>
            <w:shd w:fill="F5F8FA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/>
                <w:sz w:val="17"/>
              </w:rPr>
              <w:t>B. PBC 调控归因可靠性实证评价</w:t>
            </w:r>
          </w:p>
        </w:tc>
        <w:tc>
          <w:tcPr>
            <w:tcW w:type="dxa" w:w="2472"/>
            <w:vAlign w:val="center"/>
            <w:shd w:fill="F5F8FA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固定范围、同输入比较、signal-pair 结构、模拟与外部证据已完整。</w:t>
            </w:r>
          </w:p>
        </w:tc>
        <w:tc>
          <w:tcPr>
            <w:tcW w:type="dxa" w:w="2472"/>
            <w:vAlign w:val="center"/>
            <w:shd w:fill="F5F8FA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受高信息子集选择、位点依赖、独立复制覆盖及模拟模板限制。</w:t>
            </w:r>
          </w:p>
        </w:tc>
        <w:tc>
          <w:tcPr>
            <w:tcW w:type="dxa" w:w="2472"/>
            <w:vAlign w:val="center"/>
            <w:shd w:fill="F5F8FA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主推荐；适合现有投稿候选。</w:t>
            </w:r>
          </w:p>
        </w:tc>
      </w:tr>
      <w:tr>
        <w:trPr>
          <w:cantSplit/>
        </w:trPr>
        <w:tc>
          <w:tcPr>
            <w:tcW w:type="dxa" w:w="2472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/>
                <w:sz w:val="17"/>
              </w:rPr>
              <w:t>C. 普适新算法／跨疾病 benchmark</w:t>
            </w:r>
          </w:p>
        </w:tc>
        <w:tc>
          <w:tcPr>
            <w:tcW w:type="dxa" w:w="2472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可潜在冲击更广的方法学读者。</w:t>
            </w:r>
          </w:p>
        </w:tc>
        <w:tc>
          <w:tcPr>
            <w:tcW w:type="dxa" w:w="2472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当前没有新 estimator；不能用两个 LD 模板证明普适优越。</w:t>
            </w:r>
          </w:p>
        </w:tc>
        <w:tc>
          <w:tcPr>
            <w:tcW w:type="dxa" w:w="2472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仅在独立真值与多架构扩展成功后单独立项，不自动升级。</w:t>
            </w:r>
          </w:p>
        </w:tc>
      </w:tr>
    </w:tbl>
    <w:p>
      <w:pPr>
        <w:spacing w:after="0"/>
      </w:pPr>
    </w:p>
    <w:p>
      <w:pPr>
        <w:pStyle w:val="Heading2"/>
      </w:pPr>
      <w:r>
        <w:t>1.3 重选题何时真正成立</w:t>
      </w:r>
    </w:p>
    <w:p>
      <w:pPr>
        <w:spacing w:after="140"/>
        <w:ind w:firstLine="408"/>
        <w:jc w:val="both"/>
      </w:pPr>
      <w:r>
        <w:rPr>
          <w:rFonts w:ascii="Calibri" w:hAnsi="Calibri" w:eastAsia="Noto Sans CJK SC"/>
          <w:b w:val="0"/>
        </w:rPr>
        <w:t>如果发现致命且无法修复的来源错配、同输入结果无法复制、代表信号缺失和已批准的中心论点失去可信度，应暂停受影响研究并做独立重审；不必机械等到所有研究层同时失败。相反，一区升级不成功本身不是换病种门：现有二区范围的解释可靠性研究可以继续。</w:t>
      </w:r>
    </w:p>
    <w:p>
      <w:pPr>
        <w:pStyle w:val="Heading1"/>
      </w:pPr>
      <w:r>
        <w:t>2. 输入验收与科学证据权威</w:t>
      </w:r>
    </w:p>
    <w:p>
      <w:pPr>
        <w:pStyle w:val="Heading2"/>
      </w:pPr>
      <w:r>
        <w:t>2.1 本轮可直接确认的对象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96"/>
        <w:gridCol w:w="3296"/>
        <w:gridCol w:w="3296"/>
      </w:tblGrid>
      <w:tr>
        <w:trPr>
          <w:tblHeader w:val="true"/>
          <w:cantSplit/>
        </w:trPr>
        <w:tc>
          <w:tcPr>
            <w:tcW w:type="dxa" w:w="3296"/>
            <w:shd w:fill="234563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Noto Sans CJK SC"/>
                <w:b/>
                <w:color w:val="FFFFFF"/>
                <w:sz w:val="18"/>
              </w:rPr>
              <w:t>证据对象</w:t>
            </w:r>
          </w:p>
        </w:tc>
        <w:tc>
          <w:tcPr>
            <w:tcW w:type="dxa" w:w="3296"/>
            <w:shd w:fill="234563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Noto Sans CJK SC"/>
                <w:b/>
                <w:color w:val="FFFFFF"/>
                <w:sz w:val="18"/>
              </w:rPr>
              <w:t>身份／状态</w:t>
            </w:r>
          </w:p>
        </w:tc>
        <w:tc>
          <w:tcPr>
            <w:tcW w:type="dxa" w:w="3296"/>
            <w:shd w:fill="234563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Noto Sans CJK SC"/>
                <w:b/>
                <w:color w:val="FFFFFF"/>
                <w:sz w:val="18"/>
              </w:rPr>
              <w:t>权威边界</w:t>
            </w:r>
          </w:p>
        </w:tc>
      </w:tr>
      <w:tr>
        <w:trPr>
          <w:cantSplit/>
        </w:trPr>
        <w:tc>
          <w:tcPr>
            <w:tcW w:type="dxa" w:w="3296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/>
                <w:sz w:val="16"/>
              </w:rPr>
              <w:t>YR1(6).zip</w:t>
            </w:r>
          </w:p>
        </w:tc>
        <w:tc>
          <w:tcPr>
            <w:tcW w:type="dxa" w:w="3296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6"/>
              </w:rPr>
              <w:t>434,577,141 bytes；SHA-256 662c0e82d061c33c7c10ed5efb0654ba161b4a3eb541ea86fd6ffc65d26817b1；CRC PASS。</w:t>
            </w:r>
          </w:p>
        </w:tc>
        <w:tc>
          <w:tcPr>
            <w:tcW w:type="dxa" w:w="3296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6"/>
              </w:rPr>
              <w:t>与此前 YR1(5) 相同字节身份，含 R7B1E 以前科学工作区，不代表最新提交。</w:t>
            </w:r>
          </w:p>
        </w:tc>
      </w:tr>
      <w:tr>
        <w:trPr>
          <w:cantSplit/>
        </w:trPr>
        <w:tc>
          <w:tcPr>
            <w:tcW w:type="dxa" w:w="3296"/>
            <w:vAlign w:val="center"/>
            <w:shd w:fill="F5F8FA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/>
                <w:sz w:val="16"/>
              </w:rPr>
              <w:t>RP v3 DOCX</w:t>
            </w:r>
          </w:p>
        </w:tc>
        <w:tc>
          <w:tcPr>
            <w:tcW w:type="dxa" w:w="3296"/>
            <w:vAlign w:val="center"/>
            <w:shd w:fill="F5F8FA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6"/>
              </w:rPr>
              <w:t>84,393 bytes；SHA-256 310b307e5463825968ee93e52ca34fb997b6a28b81d79ce791d831fc6f18ed59。</w:t>
            </w:r>
          </w:p>
        </w:tc>
        <w:tc>
          <w:tcPr>
            <w:tcW w:type="dxa" w:w="3296"/>
            <w:vAlign w:val="center"/>
            <w:shd w:fill="F5F8FA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6"/>
              </w:rPr>
              <w:t>当时“R7B2A 待执行”的规划为历史约束，现已过期。</w:t>
            </w:r>
          </w:p>
        </w:tc>
      </w:tr>
      <w:tr>
        <w:trPr>
          <w:cantSplit/>
        </w:trPr>
        <w:tc>
          <w:tcPr>
            <w:tcW w:type="dxa" w:w="3296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/>
                <w:sz w:val="16"/>
              </w:rPr>
              <w:t>GitHub public main</w:t>
            </w:r>
          </w:p>
        </w:tc>
        <w:tc>
          <w:tcPr>
            <w:tcW w:type="dxa" w:w="3296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6"/>
              </w:rPr>
              <w:t>db20068e700b9c1ded8fb9171dab7e8da6aa33b7；2026-10-09 对应公开回执更新。</w:t>
            </w:r>
          </w:p>
        </w:tc>
        <w:tc>
          <w:tcPr>
            <w:tcW w:type="dxa" w:w="3296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6"/>
              </w:rPr>
              <w:t>项目当前公开状态；文中对应确切 tag/commit，不仅依赖 main 字符串。</w:t>
            </w:r>
          </w:p>
        </w:tc>
      </w:tr>
      <w:tr>
        <w:trPr>
          <w:cantSplit/>
        </w:trPr>
        <w:tc>
          <w:tcPr>
            <w:tcW w:type="dxa" w:w="3296"/>
            <w:vAlign w:val="center"/>
            <w:shd w:fill="F5F8FA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/>
                <w:sz w:val="16"/>
              </w:rPr>
              <w:t>R7B4B2 作者批准状态</w:t>
            </w:r>
          </w:p>
        </w:tc>
        <w:tc>
          <w:tcPr>
            <w:tcW w:type="dxa" w:w="3296"/>
            <w:vAlign w:val="center"/>
            <w:shd w:fill="F5F8FA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6"/>
              </w:rPr>
              <w:t>科学资产提交 16b4f30404694a4248921a1c02280bc594a43d74，GitHub release PUBLISHED_VERIFIED。</w:t>
            </w:r>
          </w:p>
        </w:tc>
        <w:tc>
          <w:tcPr>
            <w:tcW w:type="dxa" w:w="3296"/>
            <w:vAlign w:val="center"/>
            <w:shd w:fill="F5F8FA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6"/>
              </w:rPr>
              <w:t>此处作者批准事实由公开 state 记录；私人批准文件不在公开仓库。</w:t>
            </w:r>
          </w:p>
        </w:tc>
      </w:tr>
      <w:tr>
        <w:trPr>
          <w:cantSplit/>
        </w:trPr>
        <w:tc>
          <w:tcPr>
            <w:tcW w:type="dxa" w:w="3296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/>
                <w:sz w:val="16"/>
              </w:rPr>
              <w:t>Zenodo DOI</w:t>
            </w:r>
          </w:p>
        </w:tc>
        <w:tc>
          <w:tcPr>
            <w:tcW w:type="dxa" w:w="3296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6"/>
              </w:rPr>
              <w:t>public state: AUTHENTICATION_REQUIRED；DOI 为 null。</w:t>
            </w:r>
          </w:p>
        </w:tc>
        <w:tc>
          <w:tcPr>
            <w:tcW w:type="dxa" w:w="3296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6"/>
              </w:rPr>
              <w:t>不能宣称已经获得 DOI 或完成 Zenodo 归档。</w:t>
            </w:r>
          </w:p>
        </w:tc>
      </w:tr>
      <w:tr>
        <w:trPr>
          <w:cantSplit/>
        </w:trPr>
        <w:tc>
          <w:tcPr>
            <w:tcW w:type="dxa" w:w="3296"/>
            <w:vAlign w:val="center"/>
            <w:shd w:fill="F5F8FA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/>
                <w:sz w:val="16"/>
              </w:rPr>
              <w:t>Human Genomics 投稿</w:t>
            </w:r>
          </w:p>
        </w:tc>
        <w:tc>
          <w:tcPr>
            <w:tcW w:type="dxa" w:w="3296"/>
            <w:vAlign w:val="center"/>
            <w:shd w:fill="F5F8FA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6"/>
              </w:rPr>
              <w:t>public state: NOT_PERFORMED；原候选版本记录 20 PASS／2 HOLD。</w:t>
            </w:r>
          </w:p>
        </w:tc>
        <w:tc>
          <w:tcPr>
            <w:tcW w:type="dxa" w:w="3296"/>
            <w:vAlign w:val="center"/>
            <w:shd w:fill="F5F8FA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6"/>
              </w:rPr>
              <w:t>20/2 为上游 QA，不能等同投稿授权；作者实际投稿与机构分区核验仍需完成。</w:t>
            </w:r>
          </w:p>
        </w:tc>
      </w:tr>
    </w:tbl>
    <w:p>
      <w:pPr>
        <w:spacing w:after="0"/>
      </w:pPr>
    </w:p>
    <w:p>
      <w:pPr>
        <w:pStyle w:val="Heading2"/>
      </w:pPr>
      <w:r>
        <w:t>2.2 版本保护规则</w:t>
      </w:r>
    </w:p>
    <w:p>
      <w:pPr>
        <w:spacing w:after="140"/>
        <w:ind w:firstLine="408"/>
        <w:jc w:val="both"/>
      </w:pPr>
      <w:r>
        <w:rPr>
          <w:rFonts w:ascii="Calibri" w:hAnsi="Calibri" w:eastAsia="Noto Sans CJK SC"/>
          <w:b w:val="0"/>
        </w:rPr>
        <w:t>R7B4B2 的投稿候选、图件、原始结果与许可边界不覆盖、不删除。RP v4 的补强只写新独立目录与独立分析分支，记载 protocol amendment 日期、触发原因、数据选择信息与结果前/结果后属性。若补强改变正文结论或图，必须获得对新哈希版本的作者重新批准；已经批准旧版不能默认为批准新版。</w:t>
      </w:r>
    </w:p>
    <w:p>
      <w:pPr>
        <w:pStyle w:val="Heading1"/>
      </w:pPr>
      <w:r>
        <w:t>3. 本次研究的中心论点与假设</w:t>
      </w:r>
    </w:p>
    <w:p>
      <w:pPr>
        <w:pStyle w:val="Heading2"/>
      </w:pPr>
      <w:r>
        <w:t>3.1 推荐单一科学问题</w:t>
      </w:r>
    </w:p>
    <w:p>
      <w:pPr>
        <w:spacing w:after="140"/>
        <w:ind w:firstLine="408"/>
        <w:jc w:val="both"/>
      </w:pPr>
      <w:r>
        <w:rPr>
          <w:rFonts w:ascii="Calibri" w:hAnsi="Calibri" w:eastAsia="Noto Sans CJK SC"/>
          <w:b w:val="0"/>
        </w:rPr>
        <w:t>在 PBC 风险区域，免疫细胞调控归因的稳定性有多大程度取决于实际变异覆盖、疾病统计定义、来源匹配的疾病/QTL LD、分子协变量、局部多信号结构和信号对发现功效？哪些可重复解释能够得到真正外部疾病或分子资源支持，哪些必须停留在不信息或关联层？</w:t>
      </w:r>
    </w:p>
    <w:p>
      <w:pPr>
        <w:pStyle w:val="Heading2"/>
      </w:pPr>
      <w:r>
        <w:t>3.2 可以被否定的预期</w:t>
      </w:r>
    </w:p>
    <w:p>
      <w:pPr>
        <w:spacing w:after="40"/>
        <w:ind w:left="317" w:hanging="215"/>
      </w:pPr>
      <w:r>
        <w:rPr>
          <w:rFonts w:ascii="Calibri" w:hAnsi="Calibri" w:eastAsia="Noto Sans CJK SC"/>
          <w:b/>
          <w:color w:val="326586"/>
        </w:rPr>
        <w:t xml:space="preserve">•  </w:t>
      </w:r>
      <w:r>
        <w:rPr>
          <w:rFonts w:ascii="Calibri" w:hAnsi="Calibri" w:eastAsia="Noto Sans CJK SC"/>
        </w:rPr>
        <w:t>若 A0/A1/A2/M 同输入协调能够解释绝大多数变化，那么应把主贡献定位为输入协调/稳健解释，而非 SuSiE 纠错；既有结果对此已有直接分量。</w:t>
      </w:r>
    </w:p>
    <w:p>
      <w:pPr>
        <w:spacing w:after="40"/>
        <w:ind w:left="317" w:hanging="215"/>
      </w:pPr>
      <w:r>
        <w:rPr>
          <w:rFonts w:ascii="Calibri" w:hAnsi="Calibri" w:eastAsia="Noto Sans CJK SC"/>
          <w:b/>
          <w:color w:val="326586"/>
        </w:rPr>
        <w:t xml:space="preserve">•  </w:t>
      </w:r>
      <w:r>
        <w:rPr>
          <w:rFonts w:ascii="Calibri" w:hAnsi="Calibri" w:eastAsia="Noto Sans CJK SC"/>
        </w:rPr>
        <w:t>若跨 PF10/PF50、L 和低先验的共享信号在独立 PBC GWAS 中也能指向兼容 credible set，外部一致性强于只复用同一疾病 GWAS；反之应降级。</w:t>
      </w:r>
    </w:p>
    <w:p>
      <w:pPr>
        <w:spacing w:after="40"/>
        <w:ind w:left="317" w:hanging="215"/>
      </w:pPr>
      <w:r>
        <w:rPr>
          <w:rFonts w:ascii="Calibri" w:hAnsi="Calibri" w:eastAsia="Noto Sans CJK SC"/>
          <w:b/>
          <w:color w:val="326586"/>
        </w:rPr>
        <w:t xml:space="preserve">•  </w:t>
      </w:r>
      <w:r>
        <w:rPr>
          <w:rFonts w:ascii="Calibri" w:hAnsi="Calibri" w:eastAsia="Noto Sans CJK SC"/>
        </w:rPr>
        <w:t>若与共定位相联的 peak–gene/caQTL 缺少同一 CS 变异，不能把同区域位置重合升级为遗传染色质介导；即使存在方向一致也不例外。</w:t>
      </w:r>
    </w:p>
    <w:p>
      <w:pPr>
        <w:spacing w:after="40"/>
        <w:ind w:left="317" w:hanging="215"/>
      </w:pPr>
      <w:r>
        <w:rPr>
          <w:rFonts w:ascii="Calibri" w:hAnsi="Calibri" w:eastAsia="Noto Sans CJK SC"/>
          <w:b/>
          <w:color w:val="326586"/>
        </w:rPr>
        <w:t xml:space="preserve">•  </w:t>
      </w:r>
      <w:r>
        <w:rPr>
          <w:rFonts w:ascii="Calibri" w:hAnsi="Calibri" w:eastAsia="Noto Sans CJK SC"/>
        </w:rPr>
        <w:t>若选择感知模拟与更多独立 LD 结构使已有重分类比例高度可变，则不应宣称某个总体稳定率可广泛外推。</w:t>
      </w:r>
    </w:p>
    <w:p>
      <w:pPr>
        <w:spacing w:after="40"/>
        <w:ind w:left="317" w:hanging="215"/>
      </w:pPr>
      <w:r>
        <w:rPr>
          <w:rFonts w:ascii="Calibri" w:hAnsi="Calibri" w:eastAsia="Noto Sans CJK SC"/>
          <w:b/>
          <w:color w:val="326586"/>
        </w:rPr>
        <w:t xml:space="preserve">•  </w:t>
      </w:r>
      <w:r>
        <w:rPr>
          <w:rFonts w:ascii="Calibri" w:hAnsi="Calibri" w:eastAsia="Noto Sans CJK SC"/>
        </w:rPr>
        <w:t>如果空间组学不能找到明确供者身份与真实疾病组别，必须停在可用性/定位预检，不能制造 PBC 特异表达结论。</w:t>
      </w:r>
    </w:p>
    <w:p>
      <w:pPr>
        <w:pStyle w:val="Heading1"/>
      </w:pPr>
      <w:r>
        <w:t>4. 研究对象、分母与已有统计结果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96"/>
        <w:gridCol w:w="3296"/>
        <w:gridCol w:w="3296"/>
      </w:tblGrid>
      <w:tr>
        <w:trPr>
          <w:tblHeader w:val="true"/>
          <w:cantSplit/>
        </w:trPr>
        <w:tc>
          <w:tcPr>
            <w:tcW w:type="dxa" w:w="3296"/>
            <w:shd w:fill="234563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Noto Sans CJK SC"/>
                <w:b/>
                <w:color w:val="FFFFFF"/>
                <w:sz w:val="18"/>
              </w:rPr>
              <w:t>统计层</w:t>
            </w:r>
          </w:p>
        </w:tc>
        <w:tc>
          <w:tcPr>
            <w:tcW w:type="dxa" w:w="3296"/>
            <w:shd w:fill="234563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Noto Sans CJK SC"/>
                <w:b/>
                <w:color w:val="FFFFFF"/>
                <w:sz w:val="18"/>
              </w:rPr>
              <w:t>冻结数值</w:t>
            </w:r>
          </w:p>
        </w:tc>
        <w:tc>
          <w:tcPr>
            <w:tcW w:type="dxa" w:w="3296"/>
            <w:shd w:fill="234563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Noto Sans CJK SC"/>
                <w:b/>
                <w:color w:val="FFFFFF"/>
                <w:sz w:val="18"/>
              </w:rPr>
              <w:t>核心解释限制</w:t>
            </w:r>
          </w:p>
        </w:tc>
      </w:tr>
      <w:tr>
        <w:trPr>
          <w:cantSplit/>
        </w:trPr>
        <w:tc>
          <w:tcPr>
            <w:tcW w:type="dxa" w:w="3296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/>
                <w:sz w:val="16"/>
              </w:rPr>
              <w:t>疾病面板</w:t>
            </w:r>
          </w:p>
        </w:tc>
        <w:tc>
          <w:tcPr>
            <w:tcW w:type="dxa" w:w="3296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6"/>
              </w:rPr>
              <w:t>8,021 cases / 16,489 controls；56 非 HLA 区域。</w:t>
            </w:r>
          </w:p>
        </w:tc>
        <w:tc>
          <w:tcPr>
            <w:tcW w:type="dxa" w:w="3296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6"/>
              </w:rPr>
              <w:t>疾病侧来源/LD 对齐；不等于 56 个独立细胞-基因试验。</w:t>
            </w:r>
          </w:p>
        </w:tc>
      </w:tr>
      <w:tr>
        <w:trPr>
          <w:cantSplit/>
        </w:trPr>
        <w:tc>
          <w:tcPr>
            <w:tcW w:type="dxa" w:w="3296"/>
            <w:vAlign w:val="center"/>
            <w:shd w:fill="F5F8FA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/>
                <w:sz w:val="16"/>
              </w:rPr>
              <w:t>QTL cell universe</w:t>
            </w:r>
          </w:p>
        </w:tc>
        <w:tc>
          <w:tcPr>
            <w:tcW w:type="dxa" w:w="3296"/>
            <w:vAlign w:val="center"/>
            <w:shd w:fill="F5F8FA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6"/>
              </w:rPr>
              <w:t>OneK 14 细胞标签；6,923 locus–gene–cell 登记。</w:t>
            </w:r>
          </w:p>
        </w:tc>
        <w:tc>
          <w:tcPr>
            <w:tcW w:type="dxa" w:w="3296"/>
            <w:vAlign w:val="center"/>
            <w:shd w:fill="F5F8FA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6"/>
              </w:rPr>
              <w:t>因同 locus、gene、近缘 cell 显著依赖，不作为独立生物学重复。</w:t>
            </w:r>
          </w:p>
        </w:tc>
      </w:tr>
      <w:tr>
        <w:trPr>
          <w:cantSplit/>
        </w:trPr>
        <w:tc>
          <w:tcPr>
            <w:tcW w:type="dxa" w:w="3296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/>
                <w:sz w:val="16"/>
              </w:rPr>
              <w:t>ABF coverage</w:t>
            </w:r>
          </w:p>
        </w:tc>
        <w:tc>
          <w:tcPr>
            <w:tcW w:type="dxa" w:w="3296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6"/>
              </w:rPr>
              <w:t>5,460 可分析；1,463 覆盖不足。</w:t>
            </w:r>
          </w:p>
        </w:tc>
        <w:tc>
          <w:tcPr>
            <w:tcW w:type="dxa" w:w="3296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6"/>
              </w:rPr>
              <w:t>覆盖不足是技术不信息，不是不存在关联。</w:t>
            </w:r>
          </w:p>
        </w:tc>
      </w:tr>
      <w:tr>
        <w:trPr>
          <w:cantSplit/>
        </w:trPr>
        <w:tc>
          <w:tcPr>
            <w:tcW w:type="dxa" w:w="3296"/>
            <w:vAlign w:val="center"/>
            <w:shd w:fill="F5F8FA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/>
                <w:sz w:val="16"/>
              </w:rPr>
              <w:t>多信号高信息子集</w:t>
            </w:r>
          </w:p>
        </w:tc>
        <w:tc>
          <w:tcPr>
            <w:tcW w:type="dxa" w:w="3296"/>
            <w:vAlign w:val="center"/>
            <w:shd w:fill="F5F8FA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6"/>
              </w:rPr>
              <w:t>642 = 184 primary + 455 H3 + 3 borderline；47 区域，200 gene，14 cell labels。</w:t>
            </w:r>
          </w:p>
        </w:tc>
        <w:tc>
          <w:tcPr>
            <w:tcW w:type="dxa" w:w="3296"/>
            <w:vAlign w:val="center"/>
            <w:shd w:fill="F5F8FA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6"/>
              </w:rPr>
              <w:t>selection-conditional estimand，不能外推所有 6,923。</w:t>
            </w:r>
          </w:p>
        </w:tc>
      </w:tr>
      <w:tr>
        <w:trPr>
          <w:cantSplit/>
        </w:trPr>
        <w:tc>
          <w:tcPr>
            <w:tcW w:type="dxa" w:w="3296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/>
                <w:sz w:val="16"/>
              </w:rPr>
              <w:t>PF10 最终支持状态</w:t>
            </w:r>
          </w:p>
        </w:tc>
        <w:tc>
          <w:tcPr>
            <w:tcW w:type="dxa" w:w="3296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6"/>
              </w:rPr>
              <w:t>H4 92 / H3 428 / model-sensitive 59 / uninformative 63。</w:t>
            </w:r>
          </w:p>
        </w:tc>
        <w:tc>
          <w:tcPr>
            <w:tcW w:type="dxa" w:w="3296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6"/>
              </w:rPr>
              <w:t>一项可含多个不同 signal pairs；H3 不等于全区域无共享。</w:t>
            </w:r>
          </w:p>
        </w:tc>
      </w:tr>
      <w:tr>
        <w:trPr>
          <w:cantSplit/>
        </w:trPr>
        <w:tc>
          <w:tcPr>
            <w:tcW w:type="dxa" w:w="3296"/>
            <w:vAlign w:val="center"/>
            <w:shd w:fill="F5F8FA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/>
                <w:sz w:val="16"/>
              </w:rPr>
              <w:t>mixed 结构</w:t>
            </w:r>
          </w:p>
        </w:tc>
        <w:tc>
          <w:tcPr>
            <w:tcW w:type="dxa" w:w="3296"/>
            <w:vAlign w:val="center"/>
            <w:shd w:fill="F5F8FA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6"/>
              </w:rPr>
              <w:t>32/92 H4 比较同时有 qualifying H3 pair。</w:t>
            </w:r>
          </w:p>
        </w:tc>
        <w:tc>
          <w:tcPr>
            <w:tcW w:type="dxa" w:w="3296"/>
            <w:vAlign w:val="center"/>
            <w:shd w:fill="F5F8FA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6"/>
              </w:rPr>
              <w:t>描述 signal-level co-occurrence，非首次提出统计概念。</w:t>
            </w:r>
          </w:p>
        </w:tc>
      </w:tr>
      <w:tr>
        <w:trPr>
          <w:cantSplit/>
        </w:trPr>
        <w:tc>
          <w:tcPr>
            <w:tcW w:type="dxa" w:w="3296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/>
                <w:sz w:val="16"/>
              </w:rPr>
              <w:t>同输入 A2→M</w:t>
            </w:r>
          </w:p>
        </w:tc>
        <w:tc>
          <w:tcPr>
            <w:tcW w:type="dxa" w:w="3296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6"/>
              </w:rPr>
              <w:t>A2 H4 113：保留 H4 79、变 H3 8；A2 H3 452：变 H4 10。</w:t>
            </w:r>
          </w:p>
        </w:tc>
        <w:tc>
          <w:tcPr>
            <w:tcW w:type="dxa" w:w="3296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6"/>
              </w:rPr>
              <w:t>真实数据无真值；A2→M 是完整程序差异，不只是因果变异数。</w:t>
            </w:r>
          </w:p>
        </w:tc>
      </w:tr>
      <w:tr>
        <w:trPr>
          <w:cantSplit/>
        </w:trPr>
        <w:tc>
          <w:tcPr>
            <w:tcW w:type="dxa" w:w="3296"/>
            <w:vAlign w:val="center"/>
            <w:shd w:fill="F5F8FA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/>
                <w:sz w:val="16"/>
              </w:rPr>
              <w:t>PF10/PF50</w:t>
            </w:r>
          </w:p>
        </w:tc>
        <w:tc>
          <w:tcPr>
            <w:tcW w:type="dxa" w:w="3296"/>
            <w:vAlign w:val="center"/>
            <w:shd w:fill="F5F8FA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6"/>
              </w:rPr>
              <w:t>491/520 条明确 PF10 H4/H3 比较在 PF50 匹配；4 敏感、25 PF50 不信息。</w:t>
            </w:r>
          </w:p>
        </w:tc>
        <w:tc>
          <w:tcPr>
            <w:tcW w:type="dxa" w:w="3296"/>
            <w:vAlign w:val="center"/>
            <w:shd w:fill="F5F8FA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6"/>
              </w:rPr>
              <w:t>122 条初始模型敏感/不信息不纳入同一分母。</w:t>
            </w:r>
          </w:p>
        </w:tc>
      </w:tr>
      <w:tr>
        <w:trPr>
          <w:cantSplit/>
        </w:trPr>
        <w:tc>
          <w:tcPr>
            <w:tcW w:type="dxa" w:w="3296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/>
                <w:sz w:val="16"/>
              </w:rPr>
              <w:t>模拟</w:t>
            </w:r>
          </w:p>
        </w:tc>
        <w:tc>
          <w:tcPr>
            <w:tcW w:type="dxa" w:w="3296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6"/>
              </w:rPr>
              <w:t>486×1,000；matched branch pair-evaluable 160,782 / 486,000。</w:t>
            </w:r>
          </w:p>
        </w:tc>
        <w:tc>
          <w:tcPr>
            <w:tcW w:type="dxa" w:w="3296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6"/>
              </w:rPr>
              <w:t>两个 128 variant 模板，组件而非全 pipeline gate 校准。</w:t>
            </w:r>
          </w:p>
        </w:tc>
      </w:tr>
      <w:tr>
        <w:trPr>
          <w:cantSplit/>
        </w:trPr>
        <w:tc>
          <w:tcPr>
            <w:tcW w:type="dxa" w:w="3296"/>
            <w:vAlign w:val="center"/>
            <w:shd w:fill="F5F8FA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/>
                <w:sz w:val="16"/>
              </w:rPr>
              <w:t>HRA donor-level</w:t>
            </w:r>
          </w:p>
        </w:tc>
        <w:tc>
          <w:tcPr>
            <w:tcW w:type="dxa" w:w="3296"/>
            <w:vAlign w:val="center"/>
            <w:shd w:fill="F5F8FA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6"/>
              </w:rPr>
              <w:t>5 PBC vs 5 control：FCRL3-B、IL12RB2-NK BH q 均约 0.111。</w:t>
            </w:r>
          </w:p>
        </w:tc>
        <w:tc>
          <w:tcPr>
            <w:tcW w:type="dxa" w:w="3296"/>
            <w:vAlign w:val="center"/>
            <w:shd w:fill="F5F8FA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6"/>
              </w:rPr>
              <w:t>谱系可检测性，不支持校正后的 PBC-specific enrichment。</w:t>
            </w:r>
          </w:p>
        </w:tc>
      </w:tr>
    </w:tbl>
    <w:p>
      <w:pPr>
        <w:spacing w:after="0"/>
      </w:pPr>
    </w:p>
    <w:p>
      <w:pPr>
        <w:pStyle w:val="Heading2"/>
      </w:pPr>
      <w:r>
        <w:t>4.1 完整多信号输出与重分类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48"/>
        <w:gridCol w:w="1648"/>
        <w:gridCol w:w="1648"/>
        <w:gridCol w:w="1648"/>
        <w:gridCol w:w="1648"/>
        <w:gridCol w:w="1648"/>
      </w:tblGrid>
      <w:tr>
        <w:trPr>
          <w:tblHeader w:val="true"/>
          <w:cantSplit/>
        </w:trPr>
        <w:tc>
          <w:tcPr>
            <w:tcW w:type="dxa" w:w="1648"/>
            <w:shd w:fill="234563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Noto Sans CJK SC"/>
                <w:b/>
                <w:color w:val="FFFFFF"/>
                <w:sz w:val="18"/>
              </w:rPr>
              <w:t>原 ABF</w:t>
            </w:r>
          </w:p>
        </w:tc>
        <w:tc>
          <w:tcPr>
            <w:tcW w:type="dxa" w:w="1648"/>
            <w:shd w:fill="234563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Noto Sans CJK SC"/>
                <w:b/>
                <w:color w:val="FFFFFF"/>
                <w:sz w:val="18"/>
              </w:rPr>
              <w:t>M H4</w:t>
            </w:r>
          </w:p>
        </w:tc>
        <w:tc>
          <w:tcPr>
            <w:tcW w:type="dxa" w:w="1648"/>
            <w:shd w:fill="234563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Noto Sans CJK SC"/>
                <w:b/>
                <w:color w:val="FFFFFF"/>
                <w:sz w:val="18"/>
              </w:rPr>
              <w:t>M H3</w:t>
            </w:r>
          </w:p>
        </w:tc>
        <w:tc>
          <w:tcPr>
            <w:tcW w:type="dxa" w:w="1648"/>
            <w:shd w:fill="234563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Noto Sans CJK SC"/>
                <w:b/>
                <w:color w:val="FFFFFF"/>
                <w:sz w:val="18"/>
              </w:rPr>
              <w:t>M 敏感</w:t>
            </w:r>
          </w:p>
        </w:tc>
        <w:tc>
          <w:tcPr>
            <w:tcW w:type="dxa" w:w="1648"/>
            <w:shd w:fill="234563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Noto Sans CJK SC"/>
                <w:b/>
                <w:color w:val="FFFFFF"/>
                <w:sz w:val="18"/>
              </w:rPr>
              <w:t>M 不信息</w:t>
            </w:r>
          </w:p>
        </w:tc>
        <w:tc>
          <w:tcPr>
            <w:tcW w:type="dxa" w:w="1648"/>
            <w:shd w:fill="234563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Noto Sans CJK SC"/>
                <w:b/>
                <w:color w:val="FFFFFF"/>
                <w:sz w:val="18"/>
              </w:rPr>
              <w:t>总计</w:t>
            </w:r>
          </w:p>
        </w:tc>
      </w:tr>
      <w:tr>
        <w:trPr>
          <w:cantSplit/>
        </w:trPr>
        <w:tc>
          <w:tcPr>
            <w:tcW w:type="dxa" w:w="1648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/>
                <w:sz w:val="17"/>
              </w:rPr>
              <w:t>H4</w:t>
            </w:r>
          </w:p>
        </w:tc>
        <w:tc>
          <w:tcPr>
            <w:tcW w:type="dxa" w:w="1648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78</w:t>
            </w:r>
          </w:p>
        </w:tc>
        <w:tc>
          <w:tcPr>
            <w:tcW w:type="dxa" w:w="1648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4</w:t>
            </w:r>
          </w:p>
        </w:tc>
        <w:tc>
          <w:tcPr>
            <w:tcW w:type="dxa" w:w="1648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6</w:t>
            </w:r>
          </w:p>
        </w:tc>
        <w:tc>
          <w:tcPr>
            <w:tcW w:type="dxa" w:w="1648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24</w:t>
            </w:r>
          </w:p>
        </w:tc>
        <w:tc>
          <w:tcPr>
            <w:tcW w:type="dxa" w:w="1648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112</w:t>
            </w:r>
          </w:p>
        </w:tc>
      </w:tr>
      <w:tr>
        <w:trPr>
          <w:cantSplit/>
        </w:trPr>
        <w:tc>
          <w:tcPr>
            <w:tcW w:type="dxa" w:w="1648"/>
            <w:vAlign w:val="center"/>
            <w:shd w:fill="F5F8FA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/>
                <w:sz w:val="17"/>
              </w:rPr>
              <w:t>H3/H4 模糊</w:t>
            </w:r>
          </w:p>
        </w:tc>
        <w:tc>
          <w:tcPr>
            <w:tcW w:type="dxa" w:w="1648"/>
            <w:vAlign w:val="center"/>
            <w:shd w:fill="F5F8FA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5</w:t>
            </w:r>
          </w:p>
        </w:tc>
        <w:tc>
          <w:tcPr>
            <w:tcW w:type="dxa" w:w="1648"/>
            <w:vAlign w:val="center"/>
            <w:shd w:fill="F5F8FA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15</w:t>
            </w:r>
          </w:p>
        </w:tc>
        <w:tc>
          <w:tcPr>
            <w:tcW w:type="dxa" w:w="1648"/>
            <w:vAlign w:val="center"/>
            <w:shd w:fill="F5F8FA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46</w:t>
            </w:r>
          </w:p>
        </w:tc>
        <w:tc>
          <w:tcPr>
            <w:tcW w:type="dxa" w:w="1648"/>
            <w:vAlign w:val="center"/>
            <w:shd w:fill="F5F8FA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6</w:t>
            </w:r>
          </w:p>
        </w:tc>
        <w:tc>
          <w:tcPr>
            <w:tcW w:type="dxa" w:w="1648"/>
            <w:vAlign w:val="center"/>
            <w:shd w:fill="F5F8FA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72</w:t>
            </w:r>
          </w:p>
        </w:tc>
      </w:tr>
      <w:tr>
        <w:trPr>
          <w:cantSplit/>
        </w:trPr>
        <w:tc>
          <w:tcPr>
            <w:tcW w:type="dxa" w:w="1648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/>
                <w:sz w:val="17"/>
              </w:rPr>
              <w:t>H3</w:t>
            </w:r>
          </w:p>
        </w:tc>
        <w:tc>
          <w:tcPr>
            <w:tcW w:type="dxa" w:w="1648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8</w:t>
            </w:r>
          </w:p>
        </w:tc>
        <w:tc>
          <w:tcPr>
            <w:tcW w:type="dxa" w:w="1648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409</w:t>
            </w:r>
          </w:p>
        </w:tc>
        <w:tc>
          <w:tcPr>
            <w:tcW w:type="dxa" w:w="1648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7</w:t>
            </w:r>
          </w:p>
        </w:tc>
        <w:tc>
          <w:tcPr>
            <w:tcW w:type="dxa" w:w="1648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31</w:t>
            </w:r>
          </w:p>
        </w:tc>
        <w:tc>
          <w:tcPr>
            <w:tcW w:type="dxa" w:w="1648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455</w:t>
            </w:r>
          </w:p>
        </w:tc>
      </w:tr>
      <w:tr>
        <w:trPr>
          <w:cantSplit/>
        </w:trPr>
        <w:tc>
          <w:tcPr>
            <w:tcW w:type="dxa" w:w="1648"/>
            <w:vAlign w:val="center"/>
            <w:shd w:fill="F5F8FA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/>
                <w:sz w:val="17"/>
              </w:rPr>
              <w:t>边界项</w:t>
            </w:r>
          </w:p>
        </w:tc>
        <w:tc>
          <w:tcPr>
            <w:tcW w:type="dxa" w:w="1648"/>
            <w:vAlign w:val="center"/>
            <w:shd w:fill="F5F8FA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1</w:t>
            </w:r>
          </w:p>
        </w:tc>
        <w:tc>
          <w:tcPr>
            <w:tcW w:type="dxa" w:w="1648"/>
            <w:vAlign w:val="center"/>
            <w:shd w:fill="F5F8FA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0</w:t>
            </w:r>
          </w:p>
        </w:tc>
        <w:tc>
          <w:tcPr>
            <w:tcW w:type="dxa" w:w="1648"/>
            <w:vAlign w:val="center"/>
            <w:shd w:fill="F5F8FA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0</w:t>
            </w:r>
          </w:p>
        </w:tc>
        <w:tc>
          <w:tcPr>
            <w:tcW w:type="dxa" w:w="1648"/>
            <w:vAlign w:val="center"/>
            <w:shd w:fill="F5F8FA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2</w:t>
            </w:r>
          </w:p>
        </w:tc>
        <w:tc>
          <w:tcPr>
            <w:tcW w:type="dxa" w:w="1648"/>
            <w:vAlign w:val="center"/>
            <w:shd w:fill="F5F8FA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3</w:t>
            </w:r>
          </w:p>
        </w:tc>
      </w:tr>
      <w:tr>
        <w:trPr>
          <w:cantSplit/>
        </w:trPr>
        <w:tc>
          <w:tcPr>
            <w:tcW w:type="dxa" w:w="1648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/>
                <w:sz w:val="17"/>
              </w:rPr>
              <w:t>合计</w:t>
            </w:r>
          </w:p>
        </w:tc>
        <w:tc>
          <w:tcPr>
            <w:tcW w:type="dxa" w:w="1648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92</w:t>
            </w:r>
          </w:p>
        </w:tc>
        <w:tc>
          <w:tcPr>
            <w:tcW w:type="dxa" w:w="1648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428</w:t>
            </w:r>
          </w:p>
        </w:tc>
        <w:tc>
          <w:tcPr>
            <w:tcW w:type="dxa" w:w="1648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59</w:t>
            </w:r>
          </w:p>
        </w:tc>
        <w:tc>
          <w:tcPr>
            <w:tcW w:type="dxa" w:w="1648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63</w:t>
            </w:r>
          </w:p>
        </w:tc>
        <w:tc>
          <w:tcPr>
            <w:tcW w:type="dxa" w:w="1648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642</w:t>
            </w:r>
          </w:p>
        </w:tc>
      </w:tr>
    </w:tbl>
    <w:p>
      <w:pPr>
        <w:spacing w:after="0"/>
      </w:pPr>
    </w:p>
    <w:p>
      <w:pPr>
        <w:spacing w:after="140"/>
        <w:ind w:firstLine="408"/>
        <w:jc w:val="both"/>
      </w:pPr>
      <w:r>
        <w:rPr>
          <w:rFonts w:ascii="Calibri" w:hAnsi="Calibri" w:eastAsia="Noto Sans CJK SC"/>
          <w:b w:val="0"/>
        </w:rPr>
        <w:t>这张原筛查→M 转移表不是 A2 matched-input 转移表。RP v4 保留两个不同分母，不以原 112/455 替换 A2 的 113/452。</w:t>
      </w:r>
    </w:p>
    <w:p>
      <w:pPr>
        <w:pStyle w:val="Heading2"/>
      </w:pPr>
      <w:r>
        <w:t>4.2 同输入对照已完成，不再列为待执行</w:t>
      </w:r>
    </w:p>
    <w:p>
      <w:pPr>
        <w:spacing w:after="140"/>
        <w:ind w:firstLine="408"/>
        <w:jc w:val="both"/>
      </w:pPr>
      <w:r>
        <w:rPr>
          <w:rFonts w:ascii="Calibri" w:hAnsi="Calibri" w:eastAsia="Noto Sans CJK SC"/>
          <w:b w:val="0"/>
        </w:rPr>
        <w:t>已冻结 R7B2A 结果：A0 精确复现历史 ABF；A0→A1 改变 15 个分类，A1→A2 改变 19 个；A2→M 严格方向变化为 8 个 H4→H3 与 10 个 H3→H4。A0/A1/A2/M 的工作属于结果后方法学审计，并不是在任何 posterior 出现前外部预注册。已完成研究回答的是“输入协调不能解释全部程序差异”，而不是“8/10 个已知假阳性被纠正”。</w:t>
      </w:r>
    </w:p>
    <w:p>
      <w:pPr>
        <w:pStyle w:val="Heading1"/>
      </w:pPr>
      <w:r>
        <w:t>5. 新完成的按位点聚类探索性敏感性</w:t>
      </w:r>
    </w:p>
    <w:p>
      <w:pPr>
        <w:spacing w:after="140"/>
        <w:ind w:firstLine="408"/>
        <w:jc w:val="both"/>
      </w:pPr>
      <w:r>
        <w:rPr>
          <w:rFonts w:ascii="Calibri" w:hAnsi="Calibri" w:eastAsia="Noto Sans CJK SC"/>
          <w:b w:val="0"/>
        </w:rPr>
        <w:t>从 YR1(6).zip 内 R7B1B_v2 642 行与 R7B1E0 signal-semantics 表一对一合并，以 47 个 disease loci 为抽样单位，随机种子 20261011，进行 10,000 次位点整组自助重抽样；抽中的 locus 保留该 locus 全部 gene–cell 记录。保留原始比较身份，不拟合新的 SuSiE、ABF 或 QTL。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72"/>
        <w:gridCol w:w="2472"/>
        <w:gridCol w:w="2472"/>
        <w:gridCol w:w="2472"/>
      </w:tblGrid>
      <w:tr>
        <w:trPr>
          <w:tblHeader w:val="true"/>
          <w:cantSplit/>
        </w:trPr>
        <w:tc>
          <w:tcPr>
            <w:tcW w:type="dxa" w:w="2472"/>
            <w:shd w:fill="234563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Noto Sans CJK SC"/>
                <w:b/>
                <w:color w:val="FFFFFF"/>
                <w:sz w:val="18"/>
              </w:rPr>
              <w:t>描述性指标</w:t>
            </w:r>
          </w:p>
        </w:tc>
        <w:tc>
          <w:tcPr>
            <w:tcW w:type="dxa" w:w="2472"/>
            <w:shd w:fill="234563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Noto Sans CJK SC"/>
                <w:b/>
                <w:color w:val="FFFFFF"/>
                <w:sz w:val="18"/>
              </w:rPr>
              <w:t>冻结观察值</w:t>
            </w:r>
          </w:p>
        </w:tc>
        <w:tc>
          <w:tcPr>
            <w:tcW w:type="dxa" w:w="2472"/>
            <w:shd w:fill="234563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Noto Sans CJK SC"/>
                <w:b/>
                <w:color w:val="FFFFFF"/>
                <w:sz w:val="18"/>
              </w:rPr>
              <w:t>47-locus 重抽样 2.5%–97.5% 分位</w:t>
            </w:r>
          </w:p>
        </w:tc>
        <w:tc>
          <w:tcPr>
            <w:tcW w:type="dxa" w:w="2472"/>
            <w:shd w:fill="234563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Noto Sans CJK SC"/>
                <w:b/>
                <w:color w:val="FFFFFF"/>
                <w:sz w:val="18"/>
              </w:rPr>
              <w:t>解读</w:t>
            </w:r>
          </w:p>
        </w:tc>
      </w:tr>
      <w:tr>
        <w:trPr>
          <w:cantSplit/>
        </w:trPr>
        <w:tc>
          <w:tcPr>
            <w:tcW w:type="dxa" w:w="2472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/>
                <w:sz w:val="17"/>
              </w:rPr>
              <w:t>H4 among 642</w:t>
            </w:r>
          </w:p>
        </w:tc>
        <w:tc>
          <w:tcPr>
            <w:tcW w:type="dxa" w:w="2472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14.33%</w:t>
            </w:r>
          </w:p>
        </w:tc>
        <w:tc>
          <w:tcPr>
            <w:tcW w:type="dxa" w:w="2472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7.43%–21.24%</w:t>
            </w:r>
          </w:p>
        </w:tc>
        <w:tc>
          <w:tcPr>
            <w:tcW w:type="dxa" w:w="2472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强烈依赖哪些风险位点被计入；非独立642项置信区间。</w:t>
            </w:r>
          </w:p>
        </w:tc>
      </w:tr>
      <w:tr>
        <w:trPr>
          <w:cantSplit/>
        </w:trPr>
        <w:tc>
          <w:tcPr>
            <w:tcW w:type="dxa" w:w="2472"/>
            <w:vAlign w:val="center"/>
            <w:shd w:fill="F5F8FA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/>
                <w:sz w:val="17"/>
              </w:rPr>
              <w:t>H3 among 642</w:t>
            </w:r>
          </w:p>
        </w:tc>
        <w:tc>
          <w:tcPr>
            <w:tcW w:type="dxa" w:w="2472"/>
            <w:vAlign w:val="center"/>
            <w:shd w:fill="F5F8FA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66.67%</w:t>
            </w:r>
          </w:p>
        </w:tc>
        <w:tc>
          <w:tcPr>
            <w:tcW w:type="dxa" w:w="2472"/>
            <w:vAlign w:val="center"/>
            <w:shd w:fill="F5F8FA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57.08%–75.97%</w:t>
            </w:r>
          </w:p>
        </w:tc>
        <w:tc>
          <w:tcPr>
            <w:tcW w:type="dxa" w:w="2472"/>
            <w:vAlign w:val="center"/>
            <w:shd w:fill="F5F8FA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与 H4 同样受到位点聚集影响。</w:t>
            </w:r>
          </w:p>
        </w:tc>
      </w:tr>
      <w:tr>
        <w:trPr>
          <w:cantSplit/>
        </w:trPr>
        <w:tc>
          <w:tcPr>
            <w:tcW w:type="dxa" w:w="2472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/>
                <w:sz w:val="17"/>
              </w:rPr>
              <w:t>原ABF严格方向反转 among642</w:t>
            </w:r>
          </w:p>
        </w:tc>
        <w:tc>
          <w:tcPr>
            <w:tcW w:type="dxa" w:w="2472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1.87%</w:t>
            </w:r>
          </w:p>
        </w:tc>
        <w:tc>
          <w:tcPr>
            <w:tcW w:type="dxa" w:w="2472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0.66%–3.11%</w:t>
            </w:r>
          </w:p>
        </w:tc>
        <w:tc>
          <w:tcPr>
            <w:tcW w:type="dxa" w:w="2472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历史 4+8 转移，不是最新 A2 的 8+10。</w:t>
            </w:r>
          </w:p>
        </w:tc>
      </w:tr>
      <w:tr>
        <w:trPr>
          <w:cantSplit/>
        </w:trPr>
        <w:tc>
          <w:tcPr>
            <w:tcW w:type="dxa" w:w="2472"/>
            <w:vAlign w:val="center"/>
            <w:shd w:fill="F5F8FA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/>
                <w:sz w:val="17"/>
              </w:rPr>
              <w:t>mixed among supported H4</w:t>
            </w:r>
          </w:p>
        </w:tc>
        <w:tc>
          <w:tcPr>
            <w:tcW w:type="dxa" w:w="2472"/>
            <w:vAlign w:val="center"/>
            <w:shd w:fill="F5F8FA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34.78%</w:t>
            </w:r>
          </w:p>
        </w:tc>
        <w:tc>
          <w:tcPr>
            <w:tcW w:type="dxa" w:w="2472"/>
            <w:vAlign w:val="center"/>
            <w:shd w:fill="F5F8FA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20.45%–53.53%</w:t>
            </w:r>
          </w:p>
        </w:tc>
        <w:tc>
          <w:tcPr>
            <w:tcW w:type="dxa" w:w="2472"/>
            <w:vAlign w:val="center"/>
            <w:shd w:fill="F5F8FA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同位点多细胞重复使比例不稳定。</w:t>
            </w:r>
          </w:p>
        </w:tc>
      </w:tr>
    </w:tbl>
    <w:p>
      <w:pPr>
        <w:spacing w:after="0"/>
      </w:pPr>
    </w:p>
    <w:p>
      <w:pPr>
        <w:spacing w:after="140"/>
        <w:ind w:firstLine="408"/>
        <w:jc w:val="both"/>
      </w:pPr>
      <w:r>
        <w:rPr>
          <w:rFonts w:ascii="Calibri" w:hAnsi="Calibri" w:eastAsia="Noto Sans CJK SC"/>
          <w:b w:val="0"/>
        </w:rPr>
        <w:t>这些分位区间不应被称为总体参数的频率学 95% 置信区间：47 位点是按已发现风险区域和高信息规则条件性选择的固定研究集合，不是随机抽取全部 PBC 位点。建议将此检验作为 RP v4 的“影响分析/审稿警示”，下一次使用 A2 matched-input 轨迹按 locus 重新评价端点时另行冻结 protocol 和解释口径。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28494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Pv4_47locus_cluster_resampli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494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6. 2026 年竞争研究与真正的新颖性上限</w:t>
      </w:r>
    </w:p>
    <w:p>
      <w:pPr>
        <w:pStyle w:val="Heading2"/>
      </w:pPr>
      <w:r>
        <w:t>6.1 已有工作覆盖什么</w:t>
      </w:r>
    </w:p>
    <w:p>
      <w:pPr>
        <w:spacing w:after="140"/>
        <w:ind w:firstLine="408"/>
        <w:jc w:val="both"/>
      </w:pPr>
      <w:r>
        <w:rPr>
          <w:rFonts w:ascii="Calibri" w:hAnsi="Calibri" w:eastAsia="Noto Sans CJK SC"/>
          <w:b w:val="0"/>
        </w:rPr>
        <w:t>Cordell 等 2021 年的国际 PBC GWMA 已包含 IL12RB2、FCRL3 与 INAVA 等候选，并开展分子共定位。Gjoka 与 Cordell 2025 年疾病侧以 SuSiE/h2-D2 细定位；Wallace 2021 已建立允许多信号的 coloc 框架。Han、Xi、Lin 和 Wang 等 2026 年研究进一步触及 FCRL3 的 QTL/蛋白/肝细胞以及 IL12RB2 的遗传优先化。因而单独使用 coloc.susie、重新识别两基因、在肝细胞检测到 FCRL3 不能构成新的首创主张。</w:t>
      </w:r>
    </w:p>
    <w:p>
      <w:pPr>
        <w:pStyle w:val="Heading2"/>
      </w:pPr>
      <w:r>
        <w:t>6.2 FinnGen 2026 重新定义了外部多组学的竞争基准</w:t>
      </w:r>
    </w:p>
    <w:p>
      <w:pPr>
        <w:spacing w:after="140"/>
        <w:ind w:firstLine="408"/>
        <w:jc w:val="both"/>
      </w:pPr>
      <w:r>
        <w:rPr>
          <w:rFonts w:ascii="Calibri" w:hAnsi="Calibri" w:eastAsia="Noto Sans CJK SC"/>
          <w:b w:val="0"/>
        </w:rPr>
        <w:t>Kanai 等 2026 年 Nature immune multiome atlas 同时开展 population-scale snRNA/snATAC、cis-eQTL/caQTL、精细定位、peak–gene linking 和 GWAS 共定位，公开 CASCADE 汇总资源。RP v4 不声称首次将 PBC 接入单细胞多组学；其潜在贡献应是严格区分来源版本、同一遗传信号对、独立 PBC disease cohort 与多组学层级，而不是绘制一个未经共定位闭合的因果图。</w:t>
      </w:r>
    </w:p>
    <w:p>
      <w:pPr>
        <w:pStyle w:val="Heading2"/>
      </w:pPr>
      <w:r>
        <w:t>6.3 真正可以贡献什么</w:t>
      </w:r>
    </w:p>
    <w:p>
      <w:pPr>
        <w:spacing w:after="40"/>
        <w:ind w:left="317" w:hanging="215"/>
      </w:pPr>
      <w:r>
        <w:rPr>
          <w:rFonts w:ascii="Calibri" w:hAnsi="Calibri" w:eastAsia="Noto Sans CJK SC"/>
          <w:b/>
          <w:color w:val="326586"/>
        </w:rPr>
        <w:t xml:space="preserve">•  </w:t>
      </w:r>
      <w:r>
        <w:rPr>
          <w:rFonts w:ascii="Calibri" w:hAnsi="Calibri" w:eastAsia="Noto Sans CJK SC"/>
        </w:rPr>
        <w:t>输入身份可控、结果可审计的 PBC 全景筛查与选择条件下的信号级稳定性比例。</w:t>
      </w:r>
    </w:p>
    <w:p>
      <w:pPr>
        <w:spacing w:after="40"/>
        <w:ind w:left="317" w:hanging="215"/>
      </w:pPr>
      <w:r>
        <w:rPr>
          <w:rFonts w:ascii="Calibri" w:hAnsi="Calibri" w:eastAsia="Noto Sans CJK SC"/>
          <w:b/>
          <w:color w:val="326586"/>
        </w:rPr>
        <w:t xml:space="preserve">•  </w:t>
      </w:r>
      <w:r>
        <w:rPr>
          <w:rFonts w:ascii="Calibri" w:hAnsi="Calibri" w:eastAsia="Noto Sans CJK SC"/>
        </w:rPr>
        <w:t>在同输入条件下报告 H3/H4 双向转移，并区分 uncertain、uncovered 与相关细胞重复。</w:t>
      </w:r>
    </w:p>
    <w:p>
      <w:pPr>
        <w:spacing w:after="40"/>
        <w:ind w:left="317" w:hanging="215"/>
      </w:pPr>
      <w:r>
        <w:rPr>
          <w:rFonts w:ascii="Calibri" w:hAnsi="Calibri" w:eastAsia="Noto Sans CJK SC"/>
          <w:b/>
          <w:color w:val="326586"/>
        </w:rPr>
        <w:t xml:space="preserve">•  </w:t>
      </w:r>
      <w:r>
        <w:rPr>
          <w:rFonts w:ascii="Calibri" w:hAnsi="Calibri" w:eastAsia="Noto Sans CJK SC"/>
        </w:rPr>
        <w:t>在多个信号对并存时，用 signal pair 而不是 gene name 定义遗传调控解释。</w:t>
      </w:r>
    </w:p>
    <w:p>
      <w:pPr>
        <w:spacing w:after="40"/>
        <w:ind w:left="317" w:hanging="215"/>
      </w:pPr>
      <w:r>
        <w:rPr>
          <w:rFonts w:ascii="Calibri" w:hAnsi="Calibri" w:eastAsia="Noto Sans CJK SC"/>
          <w:b/>
          <w:color w:val="326586"/>
        </w:rPr>
        <w:t xml:space="preserve">•  </w:t>
      </w:r>
      <w:r>
        <w:rPr>
          <w:rFonts w:ascii="Calibri" w:hAnsi="Calibri" w:eastAsia="Noto Sans CJK SC"/>
        </w:rPr>
        <w:t>把降低虚假共享与失去真实共享检出率作为共同结果，拒绝单侧性能宣传。</w:t>
      </w:r>
    </w:p>
    <w:p>
      <w:pPr>
        <w:spacing w:after="40"/>
        <w:ind w:left="317" w:hanging="215"/>
      </w:pPr>
      <w:r>
        <w:rPr>
          <w:rFonts w:ascii="Calibri" w:hAnsi="Calibri" w:eastAsia="Noto Sans CJK SC"/>
          <w:b/>
          <w:color w:val="326586"/>
        </w:rPr>
        <w:t xml:space="preserve">•  </w:t>
      </w:r>
      <w:r>
        <w:rPr>
          <w:rFonts w:ascii="Calibri" w:hAnsi="Calibri" w:eastAsia="Noto Sans CJK SC"/>
        </w:rPr>
        <w:t>明确跨资源“独立疾病 GWAS / 独立分子 QTL / 同资源不同细胞层级”这三类不同复制。</w:t>
      </w:r>
    </w:p>
    <w:p>
      <w:pPr>
        <w:pStyle w:val="Heading1"/>
      </w:pPr>
      <w:r>
        <w:t>7. 临床疾病与生物学解读的上限</w:t>
      </w:r>
    </w:p>
    <w:p>
      <w:pPr>
        <w:pStyle w:val="Heading2"/>
      </w:pPr>
      <w:r>
        <w:t>7.1 IL12RB2–NK</w:t>
      </w:r>
    </w:p>
    <w:p>
      <w:pPr>
        <w:spacing w:after="140"/>
        <w:ind w:firstLine="408"/>
        <w:jc w:val="both"/>
      </w:pPr>
      <w:r>
        <w:rPr>
          <w:rFonts w:ascii="Calibri" w:hAnsi="Calibri" w:eastAsia="Noto Sans CJK SC"/>
          <w:b w:val="0"/>
        </w:rPr>
        <w:t>OneK/TenK/FinnGen 提供不同层的表达 QTL 和 PBC 共享信号支持，风险等位基因与更高 IL12RB2 表达方向相关。FinnGen l1.NK、l2.NK、PBMC 是同一资源相关细胞层级，不是三个独立 FinnGen 样本队列。已知 peak/caQTL 位置联系不足以建立完整 PBC→chromatin→expression→disease 介导链。</w:t>
      </w:r>
    </w:p>
    <w:p>
      <w:pPr>
        <w:pStyle w:val="Heading2"/>
      </w:pPr>
      <w:r>
        <w:t>7.2 FCRL3–B / CD8_ET</w:t>
      </w:r>
    </w:p>
    <w:p>
      <w:pPr>
        <w:spacing w:after="140"/>
        <w:ind w:firstLine="408"/>
        <w:jc w:val="both"/>
      </w:pPr>
      <w:r>
        <w:rPr>
          <w:rFonts w:ascii="Calibri" w:hAnsi="Calibri" w:eastAsia="Noto Sans CJK SC"/>
          <w:b w:val="0"/>
        </w:rPr>
        <w:t>FCRL3–B 的 OneK 与 TenK 结果属于独立分子 QTL 资源支持，但复用了原 PBC GWAS；FinnGen 未返回对应疾病记录不能被改写成有功效的复制失败。CD8_ET 在 current PF10 与 PF50 下具有模型敏感性，正是边界案例；绝不能仅用 PF10 下的 H3 去否定该基因在所有 T 细胞的作用。</w:t>
      </w:r>
    </w:p>
    <w:p>
      <w:pPr>
        <w:pStyle w:val="Heading2"/>
      </w:pPr>
      <w:r>
        <w:t>7.3 HRA liver 5-versus-5</w:t>
      </w:r>
    </w:p>
    <w:p>
      <w:pPr>
        <w:spacing w:after="140"/>
        <w:ind w:firstLine="408"/>
        <w:jc w:val="both"/>
      </w:pPr>
      <w:r>
        <w:rPr>
          <w:rFonts w:ascii="Calibri" w:hAnsi="Calibri" w:eastAsia="Noto Sans CJK SC"/>
          <w:b w:val="0"/>
        </w:rPr>
        <w:t>两靶标在五名 PBC 和五名血管瘤非病变对照供者的对应谱系均可检测；PBC 特异富集未通过两靶标校正门。供者而不是细胞是生物学重复。除非未来出现新的独立临床问题，不以寻找组织阳性为目的重新下载约 267 GB BAM。</w:t>
      </w:r>
    </w:p>
    <w:p>
      <w:pPr>
        <w:pStyle w:val="Heading1"/>
      </w:pPr>
      <w:r>
        <w:t>8. 深层统计设计缺口：样本量、先验与高信息选择</w:t>
      </w:r>
    </w:p>
    <w:p>
      <w:pPr>
        <w:pStyle w:val="Heading2"/>
      </w:pPr>
      <w:r>
        <w:t>8.1 病例对照样本量定义需要定向审查</w:t>
      </w:r>
    </w:p>
    <w:p>
      <w:pPr>
        <w:spacing w:after="140"/>
        <w:ind w:firstLine="408"/>
        <w:jc w:val="both"/>
      </w:pPr>
      <w:r>
        <w:rPr>
          <w:rFonts w:ascii="Calibri" w:hAnsi="Calibri" w:eastAsia="Noto Sans CJK SC"/>
          <w:b w:val="0"/>
        </w:rPr>
        <w:t>现有疾病侧 SuSiE-RSS 使用 N_total=24,510，而病例/对照为 8,021/16,489。按照一些二分类 GWAS 常用的平衡标准化定义，4NcaseNcontrol/(Ncase+Ncontrol)≈21,584.38，约为总 N 的 88.1%。但此数值不是本项目已证实应替换的样本量：多面板 meta-analysis、原始统计量标准化、GJOKA 分析约定及所用 RSS 公式均需先核对。其潜在问题是计算有效样本量约定与 z/LD 的一致性，不能未经来源核验就直接把 N 改成 21,584。</w:t>
      </w:r>
    </w:p>
    <w:p>
      <w:pPr>
        <w:pStyle w:val="Heading2"/>
      </w:pPr>
      <w:r>
        <w:t>8.2 ABF 与 SuSiE 不是只有 causal count 不同</w:t>
      </w:r>
    </w:p>
    <w:p>
      <w:pPr>
        <w:spacing w:after="140"/>
        <w:ind w:firstLine="408"/>
        <w:jc w:val="both"/>
      </w:pPr>
      <w:r>
        <w:rPr>
          <w:rFonts w:ascii="Calibri" w:hAnsi="Calibri" w:eastAsia="Noto Sans CJK SC"/>
          <w:b w:val="0"/>
        </w:rPr>
        <w:t>当前 A2→M 已定义为 full-procedure comparison；ABF 使用 case-control effect prior SD 0.20 和量化性状 0.15×sdY，而 SuSiE-RSS 在原配置中估计先验方差。新增定向审计应对照软件原始函数/源报告，确保“同输入”没有被误写成“严格等先验”比较。如果欲进一步做同 prior variance 之下的 sensitivity，应预先冻结转换规则、报告原与新结果，并标记为结果后附加实验。</w:t>
      </w:r>
    </w:p>
    <w:p>
      <w:pPr>
        <w:pStyle w:val="Heading2"/>
      </w:pPr>
      <w:r>
        <w:t>8.3 高信息条件选择后的分母</w:t>
      </w:r>
    </w:p>
    <w:p>
      <w:pPr>
        <w:spacing w:after="140"/>
        <w:ind w:firstLine="408"/>
        <w:jc w:val="both"/>
      </w:pPr>
      <w:r>
        <w:rPr>
          <w:rFonts w:ascii="Calibri" w:hAnsi="Calibri" w:eastAsia="Noto Sans CJK SC"/>
          <w:b w:val="0"/>
        </w:rPr>
        <w:t>642 个比较先经过 source QTL eligibility、至少 200 overlap 的 ABF gate 和高信息阈值，随后进行多信号；因此 92/642、8/113、10/452 等估计只能称条件于既定筛查规则下的模型输出，不能估计所有 6,923 比较的真实共定位发生率。若目标升级至 Q1 的方法学外推，应增加选择感知的端到端校准，而不是只扩张正例数量。</w:t>
      </w:r>
    </w:p>
    <w:p>
      <w:pPr>
        <w:pStyle w:val="Heading1"/>
      </w:pPr>
      <w:r>
        <w:t>9. 面向一区／二区的有效补救措施优先级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72"/>
        <w:gridCol w:w="2472"/>
        <w:gridCol w:w="2472"/>
        <w:gridCol w:w="2472"/>
      </w:tblGrid>
      <w:tr>
        <w:trPr>
          <w:tblHeader w:val="true"/>
          <w:cantSplit/>
        </w:trPr>
        <w:tc>
          <w:tcPr>
            <w:tcW w:type="dxa" w:w="2472"/>
            <w:shd w:fill="234563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Noto Sans CJK SC"/>
                <w:b/>
                <w:color w:val="FFFFFF"/>
                <w:sz w:val="18"/>
              </w:rPr>
              <w:t>级别</w:t>
            </w:r>
          </w:p>
        </w:tc>
        <w:tc>
          <w:tcPr>
            <w:tcW w:type="dxa" w:w="2472"/>
            <w:shd w:fill="234563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Noto Sans CJK SC"/>
                <w:b/>
                <w:color w:val="FFFFFF"/>
                <w:sz w:val="18"/>
              </w:rPr>
              <w:t>补强措施</w:t>
            </w:r>
          </w:p>
        </w:tc>
        <w:tc>
          <w:tcPr>
            <w:tcW w:type="dxa" w:w="2472"/>
            <w:shd w:fill="234563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Noto Sans CJK SC"/>
                <w:b/>
                <w:color w:val="FFFFFF"/>
                <w:sz w:val="18"/>
              </w:rPr>
              <w:t>能解决的具体审稿攻击</w:t>
            </w:r>
          </w:p>
        </w:tc>
        <w:tc>
          <w:tcPr>
            <w:tcW w:type="dxa" w:w="2472"/>
            <w:shd w:fill="234563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Noto Sans CJK SC"/>
                <w:b/>
                <w:color w:val="FFFFFF"/>
                <w:sz w:val="18"/>
              </w:rPr>
              <w:t>验收与停止规则</w:t>
            </w:r>
          </w:p>
        </w:tc>
      </w:tr>
      <w:tr>
        <w:trPr>
          <w:cantSplit/>
        </w:trPr>
        <w:tc>
          <w:tcPr>
            <w:tcW w:type="dxa" w:w="2472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/>
                <w:sz w:val="16"/>
              </w:rPr>
              <w:t>P0-A</w:t>
            </w:r>
          </w:p>
        </w:tc>
        <w:tc>
          <w:tcPr>
            <w:tcW w:type="dxa" w:w="2472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6"/>
              </w:rPr>
              <w:t>R7B4B2 tag/DOI/伦理/分区/版本清理</w:t>
            </w:r>
          </w:p>
        </w:tc>
        <w:tc>
          <w:tcPr>
            <w:tcW w:type="dxa" w:w="2472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6"/>
              </w:rPr>
              <w:t>研究资产身份与发表合规性；README 默认旧 IgAN 复现入口。</w:t>
            </w:r>
          </w:p>
        </w:tc>
        <w:tc>
          <w:tcPr>
            <w:tcW w:type="dxa" w:w="2472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6"/>
              </w:rPr>
              <w:t>不改科学结果；提交系统、机构分区和 DOI 均不作未完成状态的虚假 PASS。</w:t>
            </w:r>
          </w:p>
        </w:tc>
      </w:tr>
      <w:tr>
        <w:trPr>
          <w:cantSplit/>
        </w:trPr>
        <w:tc>
          <w:tcPr>
            <w:tcW w:type="dxa" w:w="2472"/>
            <w:vAlign w:val="center"/>
            <w:shd w:fill="F5F8FA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/>
                <w:sz w:val="16"/>
              </w:rPr>
              <w:t>P0-B</w:t>
            </w:r>
          </w:p>
        </w:tc>
        <w:tc>
          <w:tcPr>
            <w:tcW w:type="dxa" w:w="2472"/>
            <w:vAlign w:val="center"/>
            <w:shd w:fill="F5F8FA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6"/>
              </w:rPr>
              <w:t>N_total/N_eff 与既有 ABF/SuSiE prior 约定审计</w:t>
            </w:r>
          </w:p>
        </w:tc>
        <w:tc>
          <w:tcPr>
            <w:tcW w:type="dxa" w:w="2472"/>
            <w:vAlign w:val="center"/>
            <w:shd w:fill="F5F8FA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6"/>
              </w:rPr>
              <w:t>分类是否受样本量与相对先验选择驱动？</w:t>
            </w:r>
          </w:p>
        </w:tc>
        <w:tc>
          <w:tcPr>
            <w:tcW w:type="dxa" w:w="2472"/>
            <w:vAlign w:val="center"/>
            <w:shd w:fill="F5F8FA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6"/>
              </w:rPr>
              <w:t>先审源码和两代表轴+边界反例；只有发现可疑变化才扩至固定642；原结果不覆盖。</w:t>
            </w:r>
          </w:p>
        </w:tc>
      </w:tr>
      <w:tr>
        <w:trPr>
          <w:cantSplit/>
        </w:trPr>
        <w:tc>
          <w:tcPr>
            <w:tcW w:type="dxa" w:w="2472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/>
                <w:sz w:val="16"/>
              </w:rPr>
              <w:t>P0-C</w:t>
            </w:r>
          </w:p>
        </w:tc>
        <w:tc>
          <w:tcPr>
            <w:tcW w:type="dxa" w:w="2472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6"/>
              </w:rPr>
              <w:t>47-locus cluster-level uncertainty / sensitivity</w:t>
            </w:r>
          </w:p>
        </w:tc>
        <w:tc>
          <w:tcPr>
            <w:tcW w:type="dxa" w:w="2472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6"/>
              </w:rPr>
              <w:t>642 不是独立重复；92 H4 的稳定性可能集中在少数 loci。</w:t>
            </w:r>
          </w:p>
        </w:tc>
        <w:tc>
          <w:tcPr>
            <w:tcW w:type="dxa" w:w="2472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6"/>
              </w:rPr>
              <w:t>固定642对象、47 loci；结果后定位清楚；避免形式化无依据 FDR。</w:t>
            </w:r>
          </w:p>
        </w:tc>
      </w:tr>
      <w:tr>
        <w:trPr>
          <w:cantSplit/>
        </w:trPr>
        <w:tc>
          <w:tcPr>
            <w:tcW w:type="dxa" w:w="2472"/>
            <w:vAlign w:val="center"/>
            <w:shd w:fill="F5F8FA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/>
                <w:sz w:val="16"/>
              </w:rPr>
              <w:t>P1-A</w:t>
            </w:r>
          </w:p>
        </w:tc>
        <w:tc>
          <w:tcPr>
            <w:tcW w:type="dxa" w:w="2472"/>
            <w:vAlign w:val="center"/>
            <w:shd w:fill="F5F8FA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6"/>
              </w:rPr>
              <w:t>FinnGen R12/R13 独立 disease source 判定</w:t>
            </w:r>
          </w:p>
        </w:tc>
        <w:tc>
          <w:tcPr>
            <w:tcW w:type="dxa" w:w="2472"/>
            <w:vAlign w:val="center"/>
            <w:shd w:fill="F5F8FA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6"/>
              </w:rPr>
              <w:t>原 OneK/TenK 复用同 GWAS；代表轴缺独立 disease replication。</w:t>
            </w:r>
          </w:p>
        </w:tc>
        <w:tc>
          <w:tcPr>
            <w:tcW w:type="dxa" w:w="2472"/>
            <w:vAlign w:val="center"/>
            <w:shd w:fill="F5F8FA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6"/>
              </w:rPr>
              <w:t>先确认 CHIRBIL_PRIM、实际可获取 summary/CS、病例数、参与者重叠、build/alleles；无真实字节则 HOLD。</w:t>
            </w:r>
          </w:p>
        </w:tc>
      </w:tr>
      <w:tr>
        <w:trPr>
          <w:cantSplit/>
        </w:trPr>
        <w:tc>
          <w:tcPr>
            <w:tcW w:type="dxa" w:w="2472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/>
                <w:sz w:val="16"/>
              </w:rPr>
              <w:t>P1-B</w:t>
            </w:r>
          </w:p>
        </w:tc>
        <w:tc>
          <w:tcPr>
            <w:tcW w:type="dxa" w:w="2472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6"/>
              </w:rPr>
              <w:t>FinnGen multiome 27基因/92比较外部可测试性登记</w:t>
            </w:r>
          </w:p>
        </w:tc>
        <w:tc>
          <w:tcPr>
            <w:tcW w:type="dxa" w:w="2472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6"/>
              </w:rPr>
              <w:t>只验证两轴可能产生 winner's curse 与覆盖报告不完整。</w:t>
            </w:r>
          </w:p>
        </w:tc>
        <w:tc>
          <w:tcPr>
            <w:tcW w:type="dxa" w:w="2472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6"/>
              </w:rPr>
              <w:t>先锁定 27基因 universe 与细胞映射；区分 not measured/not returned/not compatible。</w:t>
            </w:r>
          </w:p>
        </w:tc>
      </w:tr>
      <w:tr>
        <w:trPr>
          <w:cantSplit/>
        </w:trPr>
        <w:tc>
          <w:tcPr>
            <w:tcW w:type="dxa" w:w="2472"/>
            <w:vAlign w:val="center"/>
            <w:shd w:fill="F5F8FA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/>
                <w:sz w:val="16"/>
              </w:rPr>
              <w:t>P1-C</w:t>
            </w:r>
          </w:p>
        </w:tc>
        <w:tc>
          <w:tcPr>
            <w:tcW w:type="dxa" w:w="2472"/>
            <w:vAlign w:val="center"/>
            <w:shd w:fill="F5F8FA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6"/>
              </w:rPr>
              <w:t>独立 PBC liver scRNA/spatial 公开处理数据的低成本预检</w:t>
            </w:r>
          </w:p>
        </w:tc>
        <w:tc>
          <w:tcPr>
            <w:tcW w:type="dxa" w:w="2472"/>
            <w:vAlign w:val="center"/>
            <w:shd w:fill="F5F8FA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6"/>
              </w:rPr>
              <w:t>PBMC QTL 的器官语境薄弱；5v5仅检测性。</w:t>
            </w:r>
          </w:p>
        </w:tc>
        <w:tc>
          <w:tcPr>
            <w:tcW w:type="dxa" w:w="2472"/>
            <w:vAlign w:val="center"/>
            <w:shd w:fill="F5F8FA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6"/>
              </w:rPr>
              <w:t>OMIX 处理数据先查 n donors、case/control、独立性、spot/ROI；不明则不做差异表达。</w:t>
            </w:r>
          </w:p>
        </w:tc>
      </w:tr>
      <w:tr>
        <w:trPr>
          <w:cantSplit/>
        </w:trPr>
        <w:tc>
          <w:tcPr>
            <w:tcW w:type="dxa" w:w="2472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/>
                <w:sz w:val="16"/>
              </w:rPr>
              <w:t>P1-D</w:t>
            </w:r>
          </w:p>
        </w:tc>
        <w:tc>
          <w:tcPr>
            <w:tcW w:type="dxa" w:w="2472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6"/>
              </w:rPr>
              <w:t>源表绑定的真实 locus/CS/LD regional figures</w:t>
            </w:r>
          </w:p>
        </w:tc>
        <w:tc>
          <w:tcPr>
            <w:tcW w:type="dxa" w:w="2472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6"/>
              </w:rPr>
              <w:t>主图多数为摘要面板；审稿人难判断信号对身份。</w:t>
            </w:r>
          </w:p>
        </w:tc>
        <w:tc>
          <w:tcPr>
            <w:tcW w:type="dxa" w:w="2472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6"/>
              </w:rPr>
              <w:t>从同一变异、同一坐标、签名hash的实际 regional 数据重画，不画因果捷径。</w:t>
            </w:r>
          </w:p>
        </w:tc>
      </w:tr>
      <w:tr>
        <w:trPr>
          <w:cantSplit/>
        </w:trPr>
        <w:tc>
          <w:tcPr>
            <w:tcW w:type="dxa" w:w="2472"/>
            <w:vAlign w:val="center"/>
            <w:shd w:fill="F5F8FA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/>
                <w:sz w:val="16"/>
              </w:rPr>
              <w:t>P2-Q1</w:t>
            </w:r>
          </w:p>
        </w:tc>
        <w:tc>
          <w:tcPr>
            <w:tcW w:type="dxa" w:w="2472"/>
            <w:vAlign w:val="center"/>
            <w:shd w:fill="F5F8FA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6"/>
              </w:rPr>
              <w:t>选择感知的 end-to-end gate calibration</w:t>
            </w:r>
          </w:p>
        </w:tc>
        <w:tc>
          <w:tcPr>
            <w:tcW w:type="dxa" w:w="2472"/>
            <w:vAlign w:val="center"/>
            <w:shd w:fill="F5F8FA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6"/>
              </w:rPr>
              <w:t>486k模拟只校准单L/单prior组件且只有两个模板。</w:t>
            </w:r>
          </w:p>
        </w:tc>
        <w:tc>
          <w:tcPr>
            <w:tcW w:type="dxa" w:w="2472"/>
            <w:vAlign w:val="center"/>
            <w:shd w:fill="F5F8FA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6"/>
              </w:rPr>
              <w:t>先预算/冻结更多loci和样本量网格；同z paired多个L/prior；不根据获胜结果继续调参。</w:t>
            </w:r>
          </w:p>
        </w:tc>
      </w:tr>
      <w:tr>
        <w:trPr>
          <w:cantSplit/>
        </w:trPr>
        <w:tc>
          <w:tcPr>
            <w:tcW w:type="dxa" w:w="2472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/>
                <w:sz w:val="16"/>
              </w:rPr>
              <w:t>P2-Q1</w:t>
            </w:r>
          </w:p>
        </w:tc>
        <w:tc>
          <w:tcPr>
            <w:tcW w:type="dxa" w:w="2472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6"/>
              </w:rPr>
              <w:t>前瞻性/独立真实生物学验证</w:t>
            </w:r>
          </w:p>
        </w:tc>
        <w:tc>
          <w:tcPr>
            <w:tcW w:type="dxa" w:w="2472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6"/>
              </w:rPr>
              <w:t>无湿实验下因果介导与调控功能证据上限很低。</w:t>
            </w:r>
          </w:p>
        </w:tc>
        <w:tc>
          <w:tcPr>
            <w:tcW w:type="dxa" w:w="2472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6"/>
              </w:rPr>
              <w:t>只在获得完全独立疾病GWAS+分子层证据并证明显著知识增量时投入高成本；否则维持Q2路线。</w:t>
            </w:r>
          </w:p>
        </w:tc>
      </w:tr>
    </w:tbl>
    <w:p>
      <w:pPr>
        <w:spacing w:after="0"/>
      </w:pPr>
    </w:p>
    <w:p>
      <w:pPr>
        <w:pStyle w:val="Heading1"/>
      </w:pPr>
      <w:r>
        <w:t>10. 资源一：FinnGen 独立疾病 GWAS 与信号对复制</w:t>
      </w:r>
    </w:p>
    <w:p>
      <w:pPr>
        <w:pStyle w:val="Heading2"/>
      </w:pPr>
      <w:r>
        <w:t>10.1 资源预检的有序问题</w:t>
      </w:r>
    </w:p>
    <w:p>
      <w:pPr>
        <w:spacing w:after="40"/>
        <w:ind w:left="317" w:hanging="215"/>
      </w:pPr>
      <w:r>
        <w:rPr>
          <w:rFonts w:ascii="Calibri" w:hAnsi="Calibri" w:eastAsia="Noto Sans CJK SC"/>
          <w:b/>
          <w:color w:val="326586"/>
        </w:rPr>
        <w:t xml:space="preserve">•  </w:t>
      </w:r>
      <w:r>
        <w:rPr>
          <w:rFonts w:ascii="Calibri" w:hAnsi="Calibri" w:eastAsia="Noto Sans CJK SC"/>
        </w:rPr>
        <w:t>先证实 R12/R13 CHIRBIL_PRIM 与 PBC meta-analysis 的 phenotype mapping 是否一致，FinnGen R12 与 R13 是否存在累积样本而非两次独立复制。</w:t>
      </w:r>
    </w:p>
    <w:p>
      <w:pPr>
        <w:spacing w:after="40"/>
        <w:ind w:left="317" w:hanging="215"/>
      </w:pPr>
      <w:r>
        <w:rPr>
          <w:rFonts w:ascii="Calibri" w:hAnsi="Calibri" w:eastAsia="Noto Sans CJK SC"/>
          <w:b/>
          <w:color w:val="326586"/>
        </w:rPr>
        <w:t xml:space="preserve">•  </w:t>
      </w:r>
      <w:r>
        <w:rPr>
          <w:rFonts w:ascii="Calibri" w:hAnsi="Calibri" w:eastAsia="Noto Sans CJK SC"/>
        </w:rPr>
        <w:t>核对 Cordell 2021 欧裔五面板（意大利、WTCCC、加拿大/英国、美国）与 FinnGen 参与者：按研究来源可视为候选独立疾病队列，但应保存样本重叠核验与版本说明。</w:t>
      </w:r>
    </w:p>
    <w:p>
      <w:pPr>
        <w:spacing w:after="40"/>
        <w:ind w:left="317" w:hanging="215"/>
      </w:pPr>
      <w:r>
        <w:rPr>
          <w:rFonts w:ascii="Calibri" w:hAnsi="Calibri" w:eastAsia="Noto Sans CJK SC"/>
          <w:b/>
          <w:color w:val="326586"/>
        </w:rPr>
        <w:t xml:space="preserve">•  </w:t>
      </w:r>
      <w:r>
        <w:rPr>
          <w:rFonts w:ascii="Calibri" w:hAnsi="Calibri" w:eastAsia="Noto Sans CJK SC"/>
        </w:rPr>
        <w:t>只有在可获取 FinnGen GWAS summary 和真实 FinnGen study-derived LD/CS 或官方已发布 PBC fine-mapping 的情况下，才进行 variant-level signal-pair replication。</w:t>
      </w:r>
    </w:p>
    <w:p>
      <w:pPr>
        <w:spacing w:after="40"/>
        <w:ind w:left="317" w:hanging="215"/>
      </w:pPr>
      <w:r>
        <w:rPr>
          <w:rFonts w:ascii="Calibri" w:hAnsi="Calibri" w:eastAsia="Noto Sans CJK SC"/>
          <w:b/>
          <w:color w:val="326586"/>
        </w:rPr>
        <w:t xml:space="preserve">•  </w:t>
      </w:r>
      <w:r>
        <w:rPr>
          <w:rFonts w:ascii="Calibri" w:hAnsi="Calibri" w:eastAsia="Noto Sans CJK SC"/>
        </w:rPr>
        <w:t>使用固定 B/NK cell mapping 与 lead/CS overlap、allele effect direction 和前述先验门；FinnGen 内同一疾病 GWAS 对 PBMC、l1.NK、l2.NK 不能算三次独立 disease replication。</w:t>
      </w:r>
    </w:p>
    <w:p>
      <w:pPr>
        <w:spacing w:after="40"/>
        <w:ind w:left="317" w:hanging="215"/>
      </w:pPr>
      <w:r>
        <w:rPr>
          <w:rFonts w:ascii="Calibri" w:hAnsi="Calibri" w:eastAsia="Noto Sans CJK SC"/>
          <w:b/>
          <w:color w:val="326586"/>
        </w:rPr>
        <w:t xml:space="preserve">•  </w:t>
      </w:r>
      <w:r>
        <w:rPr>
          <w:rFonts w:ascii="Calibri" w:hAnsi="Calibri" w:eastAsia="Noto Sans CJK SC"/>
        </w:rPr>
        <w:t>若病例数不足导致 PBC CS 不稳定，公开表中没有 PBC trait，或 ancestry/build 不能对齐，标记不可评价，而非 H3 negative。</w:t>
      </w:r>
    </w:p>
    <w:p>
      <w:pPr>
        <w:pStyle w:val="Heading2"/>
      </w:pPr>
      <w:r>
        <w:t>10.2 主要产出与可证伪门</w:t>
      </w:r>
    </w:p>
    <w:p>
      <w:pPr>
        <w:spacing w:after="140"/>
        <w:ind w:firstLine="408"/>
        <w:jc w:val="both"/>
      </w:pPr>
      <w:r>
        <w:rPr>
          <w:rFonts w:ascii="Calibri" w:hAnsi="Calibri" w:eastAsia="Noto Sans CJK SC"/>
          <w:b w:val="0"/>
        </w:rPr>
        <w:t>候选独立疾病支持须由 FinnGen 相对原 Cordell 研究具有合理独立性、PBC endpoint 可核对、变异与可信集可映射以及同 locus 同方向的信号级支持共同组成。若未获得充分证据，最终文章仍按“跨分子 QTL 资源支持、疾病复制不足”写作，不删除或更换原代表轴。</w:t>
      </w:r>
    </w:p>
    <w:p>
      <w:pPr>
        <w:pStyle w:val="Heading1"/>
      </w:pPr>
      <w:r>
        <w:t>11. 资源二：FinnGen 2026 immune multiome 作为调控层审计</w:t>
      </w:r>
    </w:p>
    <w:p>
      <w:pPr>
        <w:spacing w:after="140"/>
        <w:ind w:firstLine="408"/>
        <w:jc w:val="both"/>
      </w:pPr>
      <w:r>
        <w:rPr>
          <w:rFonts w:ascii="Calibri" w:hAnsi="Calibri" w:eastAsia="Noto Sans CJK SC"/>
          <w:b w:val="0"/>
        </w:rPr>
        <w:t>最新 Nature 资源记录约 1,108 名 FinnGen 供者、10.6M snRNA 与 7.1M snATAC nuclei，公开 eQTL、caQTL、SuSiE 可信集、peak–gene links 与 CASCADE。RP v4 的新意不在重新下载原始细胞数据，而在建立“是否存在可检验的相同 signal-pair”矩阵，优先读取官方 aggregate release。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96"/>
        <w:gridCol w:w="3296"/>
        <w:gridCol w:w="3296"/>
      </w:tblGrid>
      <w:tr>
        <w:trPr>
          <w:tblHeader w:val="true"/>
          <w:cantSplit/>
        </w:trPr>
        <w:tc>
          <w:tcPr>
            <w:tcW w:type="dxa" w:w="3296"/>
            <w:shd w:fill="234563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Noto Sans CJK SC"/>
                <w:b/>
                <w:color w:val="FFFFFF"/>
                <w:sz w:val="18"/>
              </w:rPr>
              <w:t>证据层</w:t>
            </w:r>
          </w:p>
        </w:tc>
        <w:tc>
          <w:tcPr>
            <w:tcW w:type="dxa" w:w="3296"/>
            <w:shd w:fill="234563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Noto Sans CJK SC"/>
                <w:b/>
                <w:color w:val="FFFFFF"/>
                <w:sz w:val="18"/>
              </w:rPr>
              <w:t>必须具备的元数据</w:t>
            </w:r>
          </w:p>
        </w:tc>
        <w:tc>
          <w:tcPr>
            <w:tcW w:type="dxa" w:w="3296"/>
            <w:shd w:fill="234563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Noto Sans CJK SC"/>
                <w:b/>
                <w:color w:val="FFFFFF"/>
                <w:sz w:val="18"/>
              </w:rPr>
              <w:t>允许结论</w:t>
            </w:r>
          </w:p>
        </w:tc>
      </w:tr>
      <w:tr>
        <w:trPr>
          <w:cantSplit/>
        </w:trPr>
        <w:tc>
          <w:tcPr>
            <w:tcW w:type="dxa" w:w="3296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/>
                <w:sz w:val="18"/>
              </w:rPr>
              <w:t>FinnGen GWAS–eQTL</w:t>
            </w:r>
          </w:p>
        </w:tc>
        <w:tc>
          <w:tcPr>
            <w:tcW w:type="dxa" w:w="3296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PBC endpoint、GWAS信号、eQTL gene/cell/CS、variants与posterior</w:t>
            </w:r>
          </w:p>
        </w:tc>
        <w:tc>
          <w:tcPr>
            <w:tcW w:type="dxa" w:w="3296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独立疾病数据侧的分子共享支持（参与者独立性另列）。</w:t>
            </w:r>
          </w:p>
        </w:tc>
      </w:tr>
      <w:tr>
        <w:trPr>
          <w:cantSplit/>
        </w:trPr>
        <w:tc>
          <w:tcPr>
            <w:tcW w:type="dxa" w:w="3296"/>
            <w:vAlign w:val="center"/>
            <w:shd w:fill="F5F8FA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/>
                <w:sz w:val="18"/>
              </w:rPr>
              <w:t>eQTL–caQTL</w:t>
            </w:r>
          </w:p>
        </w:tc>
        <w:tc>
          <w:tcPr>
            <w:tcW w:type="dxa" w:w="3296"/>
            <w:vAlign w:val="center"/>
            <w:shd w:fill="F5F8FA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两侧同一变异/CS成员、PIP、相同细胞或可解释映射</w:t>
            </w:r>
          </w:p>
        </w:tc>
        <w:tc>
          <w:tcPr>
            <w:tcW w:type="dxa" w:w="3296"/>
            <w:vAlign w:val="center"/>
            <w:shd w:fill="F5F8FA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调控模态间支持；不同数据来源/算法不直接合并PP。</w:t>
            </w:r>
          </w:p>
        </w:tc>
      </w:tr>
      <w:tr>
        <w:trPr>
          <w:cantSplit/>
        </w:trPr>
        <w:tc>
          <w:tcPr>
            <w:tcW w:type="dxa" w:w="3296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/>
                <w:sz w:val="18"/>
              </w:rPr>
              <w:t>caQTL–peak–gene</w:t>
            </w:r>
          </w:p>
        </w:tc>
        <w:tc>
          <w:tcPr>
            <w:tcW w:type="dxa" w:w="3296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与锚变异相关的peak CS和peak–gene link，基因、cell及距离</w:t>
            </w:r>
          </w:p>
        </w:tc>
        <w:tc>
          <w:tcPr>
            <w:tcW w:type="dxa" w:w="3296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位置/链路支持；若无同变异/CS并列，不能称完整级联。</w:t>
            </w:r>
          </w:p>
        </w:tc>
      </w:tr>
      <w:tr>
        <w:trPr>
          <w:cantSplit/>
        </w:trPr>
        <w:tc>
          <w:tcPr>
            <w:tcW w:type="dxa" w:w="3296"/>
            <w:vAlign w:val="center"/>
            <w:shd w:fill="F5F8FA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/>
                <w:sz w:val="18"/>
              </w:rPr>
              <w:t>原92 H4与27基因</w:t>
            </w:r>
          </w:p>
        </w:tc>
        <w:tc>
          <w:tcPr>
            <w:tcW w:type="dxa" w:w="3296"/>
            <w:vAlign w:val="center"/>
            <w:shd w:fill="F5F8FA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全部预先明确的可测试性登记；匹配或不可测均入表</w:t>
            </w:r>
          </w:p>
        </w:tc>
        <w:tc>
          <w:tcPr>
            <w:tcW w:type="dxa" w:w="3296"/>
            <w:vAlign w:val="center"/>
            <w:shd w:fill="F5F8FA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避免只挑两例阳性；不自动要求27基因都具有强copy。</w:t>
            </w:r>
          </w:p>
        </w:tc>
      </w:tr>
    </w:tbl>
    <w:p>
      <w:pPr>
        <w:spacing w:after="0"/>
      </w:pPr>
    </w:p>
    <w:p>
      <w:pPr>
        <w:spacing w:after="140"/>
        <w:ind w:firstLine="408"/>
        <w:jc w:val="both"/>
      </w:pPr>
      <w:r>
        <w:rPr>
          <w:rFonts w:ascii="Calibri" w:hAnsi="Calibri" w:eastAsia="Noto Sans CJK SC"/>
          <w:b w:val="0"/>
        </w:rPr>
        <w:t>论文可采用分级 `direct disease–eQTL sharing`、`independent molQTL CS support`、`positional chromatin link`、`mechanistic hypothesis only`。只有同时具备 disease–caQTL、caQTL–eQTL 与 peak–gene 的充分信号身份一致性，才讨论较完整的遗传调控链；即使此链统计闭合，仍不等于扰动实验证明机制。</w:t>
      </w:r>
    </w:p>
    <w:p>
      <w:pPr>
        <w:pStyle w:val="Heading1"/>
      </w:pPr>
      <w:r>
        <w:t>12. 资源三：独立 PBC 空间与肝单细胞处理数据</w:t>
      </w:r>
    </w:p>
    <w:p>
      <w:pPr>
        <w:pStyle w:val="Heading2"/>
      </w:pPr>
      <w:r>
        <w:t>12.1 官方开放资源定位</w:t>
      </w:r>
    </w:p>
    <w:p>
      <w:pPr>
        <w:spacing w:after="140"/>
        <w:ind w:firstLine="408"/>
        <w:jc w:val="both"/>
      </w:pPr>
      <w:r>
        <w:rPr>
          <w:rFonts w:ascii="Calibri" w:hAnsi="Calibri" w:eastAsia="Noto Sans CJK SC"/>
          <w:b w:val="0"/>
        </w:rPr>
        <w:t>NGDC OMIX001122（PRJCA009122）公开 processed spatial transcriptomics 与单细胞矩阵，其中空间处理档约34.63 MB，两个 scRNA 处理档约446.95 MB、1023.77 MB。官方记录分别标为6和27，属于资源列出的 Number/Samples 字段，**不能在没有样本元数据映射时直接写成6或27位独立患者**。资源对应 Nature Communications 2023《Unique DUOX2+ACE2+ small cholangiocytes are pathogenic targets for primary biliary cholangitis》，因此其器官生物学已有既往发表，不能据此声称新机制发现。该论文的原始 HRA002347 属 controlled access，公开 processed OMIX 与受限原始数据是不同权限层。</w:t>
      </w:r>
    </w:p>
    <w:p>
      <w:pPr>
        <w:pStyle w:val="Heading2"/>
      </w:pPr>
      <w:r>
        <w:t>12.2 低成本可执行预检</w:t>
      </w:r>
    </w:p>
    <w:p>
      <w:pPr>
        <w:spacing w:after="40"/>
        <w:ind w:left="317" w:hanging="215"/>
      </w:pPr>
      <w:r>
        <w:rPr>
          <w:rFonts w:ascii="Calibri" w:hAnsi="Calibri" w:eastAsia="Noto Sans CJK SC"/>
          <w:b/>
          <w:color w:val="326586"/>
        </w:rPr>
        <w:t xml:space="preserve">•  </w:t>
      </w:r>
      <w:r>
        <w:rPr>
          <w:rFonts w:ascii="Calibri" w:hAnsi="Calibri" w:eastAsia="Noto Sans CJK SC"/>
        </w:rPr>
        <w:t>第一批仅下载 processed spatial 34.63MB 的官方元数据、文件清单与最小矩阵；验证下载URL、checksum、解压格式、spot-to-section及section-to-donor identity。</w:t>
      </w:r>
    </w:p>
    <w:p>
      <w:pPr>
        <w:spacing w:after="40"/>
        <w:ind w:left="317" w:hanging="215"/>
      </w:pPr>
      <w:r>
        <w:rPr>
          <w:rFonts w:ascii="Calibri" w:hAnsi="Calibri" w:eastAsia="Noto Sans CJK SC"/>
          <w:b/>
          <w:color w:val="326586"/>
        </w:rPr>
        <w:t xml:space="preserve">•  </w:t>
      </w:r>
      <w:r>
        <w:rPr>
          <w:rFonts w:ascii="Calibri" w:hAnsi="Calibri" w:eastAsia="Noto Sans CJK SC"/>
        </w:rPr>
        <w:t>仅在原文章和metadata明确区分 PBC 与 control 且具独立donor标记时，才分析 IL12RB2 NK 与 FCRL3 B cell 的表达／空间邻近；spot不能当独立受试者。</w:t>
      </w:r>
    </w:p>
    <w:p>
      <w:pPr>
        <w:spacing w:after="40"/>
        <w:ind w:left="317" w:hanging="215"/>
      </w:pPr>
      <w:r>
        <w:rPr>
          <w:rFonts w:ascii="Calibri" w:hAnsi="Calibri" w:eastAsia="Noto Sans CJK SC"/>
          <w:b/>
          <w:color w:val="326586"/>
        </w:rPr>
        <w:t xml:space="preserve">•  </w:t>
      </w:r>
      <w:r>
        <w:rPr>
          <w:rFonts w:ascii="Calibri" w:hAnsi="Calibri" w:eastAsia="Noto Sans CJK SC"/>
        </w:rPr>
        <w:t>对肝组织存在零膨胀、细胞组成差异和病理阶段混杂，预先声明阈值/定量单位；以 donor/section 作为推断层，报告不足功效。</w:t>
      </w:r>
    </w:p>
    <w:p>
      <w:pPr>
        <w:spacing w:after="40"/>
        <w:ind w:left="317" w:hanging="215"/>
      </w:pPr>
      <w:r>
        <w:rPr>
          <w:rFonts w:ascii="Calibri" w:hAnsi="Calibri" w:eastAsia="Noto Sans CJK SC"/>
          <w:b/>
          <w:color w:val="326586"/>
        </w:rPr>
        <w:t xml:space="preserve">•  </w:t>
      </w:r>
      <w:r>
        <w:rPr>
          <w:rFonts w:ascii="Calibri" w:hAnsi="Calibri" w:eastAsia="Noto Sans CJK SC"/>
        </w:rPr>
        <w:t>检查其与 HRA008003 是否同 donor/source，以免所谓“外部组织复制”其实是重复来源。</w:t>
      </w:r>
    </w:p>
    <w:p>
      <w:pPr>
        <w:spacing w:after="40"/>
        <w:ind w:left="317" w:hanging="215"/>
      </w:pPr>
      <w:r>
        <w:rPr>
          <w:rFonts w:ascii="Calibri" w:hAnsi="Calibri" w:eastAsia="Noto Sans CJK SC"/>
          <w:b/>
          <w:color w:val="326586"/>
        </w:rPr>
        <w:t xml:space="preserve">•  </w:t>
      </w:r>
      <w:r>
        <w:rPr>
          <w:rFonts w:ascii="Calibri" w:hAnsi="Calibri" w:eastAsia="Noto Sans CJK SC"/>
        </w:rPr>
        <w:t>如果只有定位图、没有可靠供者级case-control，则仍可提供器官定位图注，不承担新的疾病特异验证。</w:t>
      </w:r>
    </w:p>
    <w:p>
      <w:pPr>
        <w:pStyle w:val="Heading2"/>
      </w:pPr>
      <w:r>
        <w:t>12.3 排除非适配资料</w:t>
      </w:r>
    </w:p>
    <w:p>
      <w:pPr>
        <w:spacing w:after="140"/>
        <w:ind w:firstLine="408"/>
        <w:jc w:val="both"/>
      </w:pPr>
      <w:r>
        <w:rPr>
          <w:rFonts w:ascii="Calibri" w:hAnsi="Calibri" w:eastAsia="Noto Sans CJK SC"/>
          <w:b w:val="0"/>
        </w:rPr>
        <w:t>GSE280852 虽含公开人肝单细胞矩阵，却在原 GEO 记录中列为6个 pseudonormal/control samples，而非 PBC cases 与 controls 两组，因此不应自动被当作独立 PBC 病例对照验证。其他 PSC/动物 cholangitis 多组学亦须与 PBC 人肝样本明确区分。</w:t>
      </w:r>
    </w:p>
    <w:p>
      <w:pPr>
        <w:pStyle w:val="Heading1"/>
      </w:pPr>
      <w:r>
        <w:t>13. 来源模型与稀疏信号识别的针对性修正</w:t>
      </w:r>
    </w:p>
    <w:p>
      <w:pPr>
        <w:pStyle w:val="Heading2"/>
      </w:pPr>
      <w:r>
        <w:t>13.1 GWAS N 使用规范的两级核查</w:t>
      </w:r>
    </w:p>
    <w:p>
      <w:pPr>
        <w:spacing w:after="140"/>
        <w:ind w:firstLine="408"/>
        <w:jc w:val="both"/>
      </w:pPr>
      <w:r>
        <w:rPr>
          <w:rFonts w:ascii="Calibri" w:hAnsi="Calibri" w:eastAsia="Noto Sans CJK SC"/>
          <w:b w:val="0"/>
        </w:rPr>
        <w:t>优先读原 GJOKA summary、苏西 RSS 代码中的 disease n 位置与作者方法，确认 log-odds z 是否适合使用全体 N。按病例/对照平衡 convention 仅作为 `N_eff_4harm` 的审慎敏感性候选。若批准开展，先使用 IL12RB2-NK、FCRL3 B_IN/B_MEM 与 CD8_ET 定向核验，记录 PIP、CS 与 pair posterior；只有显著改变关键证据的情况才扩至整个642。</w:t>
      </w:r>
    </w:p>
    <w:p>
      <w:pPr>
        <w:pStyle w:val="Heading2"/>
      </w:pPr>
      <w:r>
        <w:t>13.2 先验敏感性与 CS 语义</w:t>
      </w:r>
    </w:p>
    <w:p>
      <w:pPr>
        <w:spacing w:after="140"/>
        <w:ind w:firstLine="408"/>
        <w:jc w:val="both"/>
      </w:pPr>
      <w:r>
        <w:rPr>
          <w:rFonts w:ascii="Calibri" w:hAnsi="Calibri" w:eastAsia="Noto Sans CJK SC"/>
          <w:b w:val="0"/>
        </w:rPr>
        <w:t>ABF 的 fixed effect prior 与 SuSiE 的 estimated prior variance 并不相同；保留历史结果不修改。可进行结果后 estimator-prior sensitivity 来判断观察到的 A2→M 差异有多少与 prior parameterization 有关，但不能把这一层事后测试冒充原设计的受控“单因素因果对照”。报告 multi-signal multiple CS within locus 的高 H3/H4 并存，不再强制每个 locus 单一机制。</w:t>
      </w:r>
    </w:p>
    <w:p>
      <w:pPr>
        <w:pStyle w:val="Heading2"/>
      </w:pPr>
      <w:r>
        <w:t>13.3 等位基因与差异人群</w:t>
      </w:r>
    </w:p>
    <w:p>
      <w:pPr>
        <w:spacing w:after="140"/>
        <w:ind w:firstLine="408"/>
        <w:jc w:val="both"/>
      </w:pPr>
      <w:r>
        <w:rPr>
          <w:rFonts w:ascii="Calibri" w:hAnsi="Calibri" w:eastAsia="Noto Sans CJK SC"/>
          <w:b w:val="0"/>
        </w:rPr>
        <w:t>OneK QTL 来自不同 active-donor 身份，GJOKA 为原欧洲 PBC disease LD；FinnGen 为芬兰来源，跨资料存在 ancestry、LD、cell mapping 与样本组成差异。主结果不使用不匹配 ancestry 的任意外部 LD 来“救出”更多 H4。若扩展独立疾病分析，必须保留 LD 来源匹配或官方 CS 数据和 z–LD diagnostics。</w:t>
      </w:r>
    </w:p>
    <w:p>
      <w:pPr>
        <w:pStyle w:val="Heading1"/>
      </w:pPr>
      <w:r>
        <w:t>14. 统计不确定性、位点依赖与报告单位</w:t>
      </w:r>
    </w:p>
    <w:p>
      <w:pPr>
        <w:spacing w:after="140"/>
        <w:ind w:firstLine="408"/>
        <w:jc w:val="both"/>
      </w:pPr>
      <w:r>
        <w:rPr>
          <w:rFonts w:ascii="Calibri" w:hAnsi="Calibri" w:eastAsia="Noto Sans CJK SC"/>
          <w:b w:val="0"/>
        </w:rPr>
        <w:t>主论文以 642 个 comparison 为“分析单元”，不是受试者抽样单位。对于同位点多个基因、多个细胞的相关性，附加按47位点聚类的 leave-one-locus-out、整体比率重抽样分位与 cell-stratified 描述，表明稳定性依赖位点结构。所有数值应与 6,923 screening 和 5,460 ABF eligible 的分母分开。</w:t>
      </w:r>
    </w:p>
    <w:p>
      <w:pPr>
        <w:spacing w:after="140"/>
        <w:ind w:firstLine="408"/>
        <w:jc w:val="both"/>
      </w:pPr>
      <w:r>
        <w:rPr>
          <w:rFonts w:ascii="Calibri" w:hAnsi="Calibri" w:eastAsia="Noto Sans CJK SC"/>
          <w:b w:val="0"/>
        </w:rPr>
        <w:t>如果以后拟加入 locus-cluster bootstrap 的置信区间表述，必须先明确estimand、抽样结构和风险区域为何可视为来自何种总体；目前审计仅称“重抽样描述性分位范围”。不在固定47个源位点之外造出独立重复；也不将 Bayesian PP.H4 冒充FDR校正。</w:t>
      </w:r>
    </w:p>
    <w:p>
      <w:pPr>
        <w:pStyle w:val="Heading1"/>
      </w:pPr>
      <w:r>
        <w:t>15. Q1 扩展模拟的停止规则</w:t>
      </w:r>
    </w:p>
    <w:p>
      <w:pPr>
        <w:pStyle w:val="Heading2"/>
      </w:pPr>
      <w:r>
        <w:t>15.1 何时值得做</w:t>
      </w:r>
    </w:p>
    <w:p>
      <w:pPr>
        <w:spacing w:after="140"/>
        <w:ind w:firstLine="408"/>
        <w:jc w:val="both"/>
      </w:pPr>
      <w:r>
        <w:rPr>
          <w:rFonts w:ascii="Calibri" w:hAnsi="Calibri" w:eastAsia="Noto Sans CJK SC"/>
          <w:b w:val="0"/>
        </w:rPr>
        <w:t>现有486,000次模拟有两个128-variant LD模板，固定疾病 N=24,510 与 QTL N=750，且每次单个 L/p12；结果说明 false H4 与 shared-signal recovery 有取舍。如果只是争取适配的一区杂志，此层不足以支撑通用方法创新。只有当一个独立前期预检证明 Q1 核心论点依赖完整复合gate的真值性能时，才批准新增模拟工作包。</w:t>
      </w:r>
    </w:p>
    <w:p>
      <w:pPr>
        <w:pStyle w:val="Heading2"/>
      </w:pPr>
      <w:r>
        <w:t>15.2 如确需扩展的冻结协议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43"/>
        <w:gridCol w:w="4943"/>
      </w:tblGrid>
      <w:tr>
        <w:trPr>
          <w:tblHeader w:val="true"/>
          <w:cantSplit/>
        </w:trPr>
        <w:tc>
          <w:tcPr>
            <w:tcW w:type="dxa" w:w="4943"/>
            <w:shd w:fill="234563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Noto Sans CJK SC"/>
                <w:b/>
                <w:color w:val="FFFFFF"/>
                <w:sz w:val="18"/>
              </w:rPr>
              <w:t>环节</w:t>
            </w:r>
          </w:p>
        </w:tc>
        <w:tc>
          <w:tcPr>
            <w:tcW w:type="dxa" w:w="4943"/>
            <w:shd w:fill="234563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Noto Sans CJK SC"/>
                <w:b/>
                <w:color w:val="FFFFFF"/>
                <w:sz w:val="18"/>
              </w:rPr>
              <w:t>建议冻结（待批准，不是既有结果）</w:t>
            </w:r>
          </w:p>
        </w:tc>
      </w:tr>
      <w:tr>
        <w:trPr>
          <w:cantSplit/>
        </w:trPr>
        <w:tc>
          <w:tcPr>
            <w:tcW w:type="dxa" w:w="4943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模板</w:t>
            </w:r>
          </w:p>
        </w:tc>
        <w:tc>
          <w:tcPr>
            <w:tcW w:type="dxa" w:w="4943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按预先定义的 LD 复杂度/MAF/CS数量从 56 regions 抽取6–12不同 locus blocks，不按结果选 H4有利模板。</w:t>
            </w:r>
          </w:p>
        </w:tc>
      </w:tr>
      <w:tr>
        <w:trPr>
          <w:cantSplit/>
        </w:trPr>
        <w:tc>
          <w:tcPr>
            <w:tcW w:type="dxa" w:w="4943"/>
            <w:vAlign w:val="center"/>
            <w:shd w:fill="F5F8FA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信号结构</w:t>
            </w:r>
          </w:p>
        </w:tc>
        <w:tc>
          <w:tcPr>
            <w:tcW w:type="dxa" w:w="4943"/>
            <w:vAlign w:val="center"/>
            <w:shd w:fill="F5F8FA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1/1 shared 与 nonshared；2/1 partial；2/2 shared/nonshared；coverage不足；可设置不同 effect size。</w:t>
            </w:r>
          </w:p>
        </w:tc>
      </w:tr>
      <w:tr>
        <w:trPr>
          <w:cantSplit/>
        </w:trPr>
        <w:tc>
          <w:tcPr>
            <w:tcW w:type="dxa" w:w="4943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成对配置</w:t>
            </w:r>
          </w:p>
        </w:tc>
        <w:tc>
          <w:tcPr>
            <w:tcW w:type="dxa" w:w="4943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每个生成 z 使用 PF10 L5/L10/L20、低/默认 prior，再应用与实证一致的“L10且2/3 L”等复合准则。</w:t>
            </w:r>
          </w:p>
        </w:tc>
      </w:tr>
      <w:tr>
        <w:trPr>
          <w:cantSplit/>
        </w:trPr>
        <w:tc>
          <w:tcPr>
            <w:tcW w:type="dxa" w:w="4943"/>
            <w:vAlign w:val="center"/>
            <w:shd w:fill="F5F8FA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主要指标</w:t>
            </w:r>
          </w:p>
        </w:tc>
        <w:tc>
          <w:tcPr>
            <w:tcW w:type="dxa" w:w="4943"/>
            <w:vAlign w:val="center"/>
            <w:shd w:fill="F5F8FA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总体 false-H4、recall、abstention/noCS/noPair、conditional performance、CS coverage；不只报 H4数。</w:t>
            </w:r>
          </w:p>
        </w:tc>
      </w:tr>
      <w:tr>
        <w:trPr>
          <w:cantSplit/>
        </w:trPr>
        <w:tc>
          <w:tcPr>
            <w:tcW w:type="dxa" w:w="4943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技术状态</w:t>
            </w:r>
          </w:p>
        </w:tc>
        <w:tc>
          <w:tcPr>
            <w:tcW w:type="dxa" w:w="4943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ERROR、NO_CS_D、NO_CS_Q、NO_PAIR、EVALUABLE 分开；原 matched branch 零技术错误仍保持历史。</w:t>
            </w:r>
          </w:p>
        </w:tc>
      </w:tr>
      <w:tr>
        <w:trPr>
          <w:cantSplit/>
        </w:trPr>
        <w:tc>
          <w:tcPr>
            <w:tcW w:type="dxa" w:w="4943"/>
            <w:vAlign w:val="center"/>
            <w:shd w:fill="F5F8FA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预算上限</w:t>
            </w:r>
          </w:p>
        </w:tc>
        <w:tc>
          <w:tcPr>
            <w:tcW w:type="dxa" w:w="4943"/>
            <w:vAlign w:val="center"/>
            <w:shd w:fill="F5F8FA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先完成 dry-run 的每500 replicates资源估算与停止线；只有现实计算预算可执行才启动完整网格。</w:t>
            </w:r>
          </w:p>
        </w:tc>
      </w:tr>
      <w:tr>
        <w:trPr>
          <w:cantSplit/>
        </w:trPr>
        <w:tc>
          <w:tcPr>
            <w:tcW w:type="dxa" w:w="4943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停止规则</w:t>
            </w:r>
          </w:p>
        </w:tc>
        <w:tc>
          <w:tcPr>
            <w:tcW w:type="dxa" w:w="4943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任何新模板也要完整汇报；如shared recovery不足，则降低方法优越性宣传，不改变模拟真值或先验。</w:t>
            </w:r>
          </w:p>
        </w:tc>
      </w:tr>
    </w:tbl>
    <w:p>
      <w:pPr>
        <w:spacing w:after="0"/>
      </w:pPr>
    </w:p>
    <w:p>
      <w:pPr>
        <w:pStyle w:val="Heading1"/>
      </w:pPr>
      <w:r>
        <w:t>16. 图件重构：改变读者理解而不是改变数据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96"/>
        <w:gridCol w:w="3296"/>
        <w:gridCol w:w="3296"/>
      </w:tblGrid>
      <w:tr>
        <w:trPr>
          <w:tblHeader w:val="true"/>
          <w:cantSplit/>
        </w:trPr>
        <w:tc>
          <w:tcPr>
            <w:tcW w:type="dxa" w:w="3296"/>
            <w:shd w:fill="234563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Noto Sans CJK SC"/>
                <w:b/>
                <w:color w:val="FFFFFF"/>
                <w:sz w:val="18"/>
              </w:rPr>
              <w:t>Figure</w:t>
            </w:r>
          </w:p>
        </w:tc>
        <w:tc>
          <w:tcPr>
            <w:tcW w:type="dxa" w:w="3296"/>
            <w:shd w:fill="234563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Noto Sans CJK SC"/>
                <w:b/>
                <w:color w:val="FFFFFF"/>
                <w:sz w:val="18"/>
              </w:rPr>
              <w:t>主稿中必须完成的科学任务</w:t>
            </w:r>
          </w:p>
        </w:tc>
        <w:tc>
          <w:tcPr>
            <w:tcW w:type="dxa" w:w="3296"/>
            <w:shd w:fill="234563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Noto Sans CJK SC"/>
                <w:b/>
                <w:color w:val="FFFFFF"/>
                <w:sz w:val="18"/>
              </w:rPr>
              <w:t>升级条件</w:t>
            </w:r>
          </w:p>
        </w:tc>
      </w:tr>
      <w:tr>
        <w:trPr>
          <w:cantSplit/>
        </w:trPr>
        <w:tc>
          <w:tcPr>
            <w:tcW w:type="dxa" w:w="3296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/>
                <w:sz w:val="17"/>
              </w:rPr>
              <w:t>Fig 1</w:t>
            </w:r>
          </w:p>
        </w:tc>
        <w:tc>
          <w:tcPr>
            <w:tcW w:type="dxa" w:w="3296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sources/模型身份与6923→5460→642；HRA/FinnGen层级独立性清楚。</w:t>
            </w:r>
          </w:p>
        </w:tc>
        <w:tc>
          <w:tcPr>
            <w:tcW w:type="dxa" w:w="3296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现有图可微调；除非录入新科学证据，不重做整体构图。</w:t>
            </w:r>
          </w:p>
        </w:tc>
      </w:tr>
      <w:tr>
        <w:trPr>
          <w:cantSplit/>
        </w:trPr>
        <w:tc>
          <w:tcPr>
            <w:tcW w:type="dxa" w:w="3296"/>
            <w:vAlign w:val="center"/>
            <w:shd w:fill="F5F8FA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/>
                <w:sz w:val="17"/>
              </w:rPr>
              <w:t>Fig 2</w:t>
            </w:r>
          </w:p>
        </w:tc>
        <w:tc>
          <w:tcPr>
            <w:tcW w:type="dxa" w:w="3296"/>
            <w:vAlign w:val="center"/>
            <w:shd w:fill="F5F8FA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matched-input A0/A1/A2/M 轨迹、变异支持差异、同对比较、正确分母。</w:t>
            </w:r>
          </w:p>
        </w:tc>
        <w:tc>
          <w:tcPr>
            <w:tcW w:type="dxa" w:w="3296"/>
            <w:vAlign w:val="center"/>
            <w:shd w:fill="F5F8FA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增加47-locus不确定性小面板；不可把A0与A2分母混用。</w:t>
            </w:r>
          </w:p>
        </w:tc>
      </w:tr>
      <w:tr>
        <w:trPr>
          <w:cantSplit/>
        </w:trPr>
        <w:tc>
          <w:tcPr>
            <w:tcW w:type="dxa" w:w="3296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/>
                <w:sz w:val="17"/>
              </w:rPr>
              <w:t>Fig 3</w:t>
            </w:r>
          </w:p>
        </w:tc>
        <w:tc>
          <w:tcPr>
            <w:tcW w:type="dxa" w:w="3296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真实模拟发现率、可评价率、无CS、错误调用/recall；两个LD模板边界。</w:t>
            </w:r>
          </w:p>
        </w:tc>
        <w:tc>
          <w:tcPr>
            <w:tcW w:type="dxa" w:w="3296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若新的full gate校准完成另开对应子图；不替换已冻图的旧来源。</w:t>
            </w:r>
          </w:p>
        </w:tc>
      </w:tr>
      <w:tr>
        <w:trPr>
          <w:cantSplit/>
        </w:trPr>
        <w:tc>
          <w:tcPr>
            <w:tcW w:type="dxa" w:w="3296"/>
            <w:vAlign w:val="center"/>
            <w:shd w:fill="F5F8FA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/>
                <w:sz w:val="17"/>
              </w:rPr>
              <w:t>Fig 4</w:t>
            </w:r>
          </w:p>
        </w:tc>
        <w:tc>
          <w:tcPr>
            <w:tcW w:type="dxa" w:w="3296"/>
            <w:vAlign w:val="center"/>
            <w:shd w:fill="F5F8FA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IL12RB2 locus真实GWAS/eQTL regional plot、CS/PIP/LD，FinnGen兼容证据。</w:t>
            </w:r>
          </w:p>
        </w:tc>
        <w:tc>
          <w:tcPr>
            <w:tcW w:type="dxa" w:w="3296"/>
            <w:vAlign w:val="center"/>
            <w:shd w:fill="F5F8FA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优先从完整源表重画一张真实regional panel；不使用只有PP.H4点的装饰性流程代替。</w:t>
            </w:r>
          </w:p>
        </w:tc>
      </w:tr>
      <w:tr>
        <w:trPr>
          <w:cantSplit/>
        </w:trPr>
        <w:tc>
          <w:tcPr>
            <w:tcW w:type="dxa" w:w="3296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/>
                <w:sz w:val="17"/>
              </w:rPr>
              <w:t>Fig 5</w:t>
            </w:r>
          </w:p>
        </w:tc>
        <w:tc>
          <w:tcPr>
            <w:tcW w:type="dxa" w:w="3296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FCRL3 B-cell 与CD8_ET的region/CS对照，PF10-PF50 sensitivity。</w:t>
            </w:r>
          </w:p>
        </w:tc>
        <w:tc>
          <w:tcPr>
            <w:tcW w:type="dxa" w:w="3296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保留真实A2 0.9492605；不把ABF与signal-pair posterior当同一随机量。</w:t>
            </w:r>
          </w:p>
        </w:tc>
      </w:tr>
      <w:tr>
        <w:trPr>
          <w:cantSplit/>
        </w:trPr>
        <w:tc>
          <w:tcPr>
            <w:tcW w:type="dxa" w:w="3296"/>
            <w:vAlign w:val="center"/>
            <w:shd w:fill="F5F8FA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/>
                <w:sz w:val="17"/>
              </w:rPr>
              <w:t>Fig 6</w:t>
            </w:r>
          </w:p>
        </w:tc>
        <w:tc>
          <w:tcPr>
            <w:tcW w:type="dxa" w:w="3296"/>
            <w:vAlign w:val="center"/>
            <w:shd w:fill="F5F8FA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组织donor-level null及可用空间/多组学证据的边界图。</w:t>
            </w:r>
          </w:p>
        </w:tc>
        <w:tc>
          <w:tcPr>
            <w:tcW w:type="dxa" w:w="3296"/>
            <w:vAlign w:val="center"/>
            <w:shd w:fill="F5F8FA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未满足独立数据和donor QC前，不新增疾病差异热点或因果箭头。</w:t>
            </w:r>
          </w:p>
        </w:tc>
      </w:tr>
    </w:tbl>
    <w:p>
      <w:pPr>
        <w:spacing w:after="0"/>
      </w:pPr>
    </w:p>
    <w:p>
      <w:pPr>
        <w:spacing w:after="140"/>
        <w:ind w:firstLine="408"/>
        <w:jc w:val="both"/>
      </w:pPr>
      <w:r>
        <w:rPr>
          <w:rFonts w:ascii="Calibri" w:hAnsi="Calibri" w:eastAsia="Noto Sans CJK SC"/>
          <w:b w:val="0"/>
        </w:rPr>
        <w:t>每一面板绑定源表、哈希、绘图脚本、单位、轴标题和图例；同一变异保留一致 genome build 和 allele orientation。所有 Nature 式简洁图遵循白底、色盲安全配色、高分辨率/矢量源，不允许用“美化”遮盖实际不一致。</w:t>
      </w:r>
    </w:p>
    <w:p>
      <w:pPr>
        <w:pStyle w:val="Heading1"/>
      </w:pPr>
      <w:r>
        <w:t>17. 最严格的证据台账与推断分级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96"/>
        <w:gridCol w:w="3296"/>
        <w:gridCol w:w="3296"/>
      </w:tblGrid>
      <w:tr>
        <w:trPr>
          <w:tblHeader w:val="true"/>
          <w:cantSplit/>
        </w:trPr>
        <w:tc>
          <w:tcPr>
            <w:tcW w:type="dxa" w:w="3296"/>
            <w:shd w:fill="234563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Noto Sans CJK SC"/>
                <w:b/>
                <w:color w:val="FFFFFF"/>
                <w:sz w:val="18"/>
              </w:rPr>
              <w:t>证据层</w:t>
            </w:r>
          </w:p>
        </w:tc>
        <w:tc>
          <w:tcPr>
            <w:tcW w:type="dxa" w:w="3296"/>
            <w:shd w:fill="234563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Noto Sans CJK SC"/>
                <w:b/>
                <w:color w:val="FFFFFF"/>
                <w:sz w:val="18"/>
              </w:rPr>
              <w:t>当前最强结果</w:t>
            </w:r>
          </w:p>
        </w:tc>
        <w:tc>
          <w:tcPr>
            <w:tcW w:type="dxa" w:w="3296"/>
            <w:shd w:fill="234563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Noto Sans CJK SC"/>
                <w:b/>
                <w:color w:val="FFFFFF"/>
                <w:sz w:val="18"/>
              </w:rPr>
              <w:t>允许／禁止的论断</w:t>
            </w:r>
          </w:p>
        </w:tc>
      </w:tr>
      <w:tr>
        <w:trPr>
          <w:cantSplit/>
        </w:trPr>
        <w:tc>
          <w:tcPr>
            <w:tcW w:type="dxa" w:w="3296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/>
                <w:sz w:val="17"/>
              </w:rPr>
              <w:t>E1 数据与方法对照</w:t>
            </w:r>
          </w:p>
        </w:tc>
        <w:tc>
          <w:tcPr>
            <w:tcW w:type="dxa" w:w="3296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642 个结果后固定比较；A0/A1/A2/M 全轨迹。</w:t>
            </w:r>
          </w:p>
        </w:tc>
        <w:tc>
          <w:tcPr>
            <w:tcW w:type="dxa" w:w="3296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可以说“状态在输入或模型变化后重分类”；不能说“真实错误被纠正”。</w:t>
            </w:r>
          </w:p>
        </w:tc>
      </w:tr>
      <w:tr>
        <w:trPr>
          <w:cantSplit/>
        </w:trPr>
        <w:tc>
          <w:tcPr>
            <w:tcW w:type="dxa" w:w="3296"/>
            <w:vAlign w:val="center"/>
            <w:shd w:fill="F5F8FA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/>
                <w:sz w:val="17"/>
              </w:rPr>
              <w:t>E2 统计共享</w:t>
            </w:r>
          </w:p>
        </w:tc>
        <w:tc>
          <w:tcPr>
            <w:tcW w:type="dxa" w:w="3296"/>
            <w:vAlign w:val="center"/>
            <w:shd w:fill="F5F8FA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92个H4，32个mixed；跨PF/L和pair identity审计。</w:t>
            </w:r>
          </w:p>
        </w:tc>
        <w:tc>
          <w:tcPr>
            <w:tcW w:type="dxa" w:w="3296"/>
            <w:vAlign w:val="center"/>
            <w:shd w:fill="F5F8FA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可以说“至少一对共享信号获得支持”；不能说“每个基因因果介导”。</w:t>
            </w:r>
          </w:p>
        </w:tc>
      </w:tr>
      <w:tr>
        <w:trPr>
          <w:cantSplit/>
        </w:trPr>
        <w:tc>
          <w:tcPr>
            <w:tcW w:type="dxa" w:w="3296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/>
                <w:sz w:val="17"/>
              </w:rPr>
              <w:t>E2 跨QTL资源</w:t>
            </w:r>
          </w:p>
        </w:tc>
        <w:tc>
          <w:tcPr>
            <w:tcW w:type="dxa" w:w="3296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TenK独立分子QTL，FinnGen三条相关细胞层记录。</w:t>
            </w:r>
          </w:p>
        </w:tc>
        <w:tc>
          <w:tcPr>
            <w:tcW w:type="dxa" w:w="3296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必须把资源独立性/疾病重用说清，不可计为多次独立疾病复制。</w:t>
            </w:r>
          </w:p>
        </w:tc>
      </w:tr>
      <w:tr>
        <w:trPr>
          <w:cantSplit/>
        </w:trPr>
        <w:tc>
          <w:tcPr>
            <w:tcW w:type="dxa" w:w="3296"/>
            <w:vAlign w:val="center"/>
            <w:shd w:fill="F5F8FA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/>
                <w:sz w:val="17"/>
              </w:rPr>
              <w:t>E1 组织边界</w:t>
            </w:r>
          </w:p>
        </w:tc>
        <w:tc>
          <w:tcPr>
            <w:tcW w:type="dxa" w:w="3296"/>
            <w:vAlign w:val="center"/>
            <w:shd w:fill="F5F8FA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5v5 target detectability, q=.111；未来空间预检可能。</w:t>
            </w:r>
          </w:p>
        </w:tc>
        <w:tc>
          <w:tcPr>
            <w:tcW w:type="dxa" w:w="3296"/>
            <w:vAlign w:val="center"/>
            <w:shd w:fill="F5F8FA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可说“组织中可检测”；无 donor-level阳性不能说PBC特异上调。</w:t>
            </w:r>
          </w:p>
        </w:tc>
      </w:tr>
      <w:tr>
        <w:trPr>
          <w:cantSplit/>
        </w:trPr>
        <w:tc>
          <w:tcPr>
            <w:tcW w:type="dxa" w:w="3296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/>
                <w:sz w:val="17"/>
              </w:rPr>
              <w:t>E3 机制／临床</w:t>
            </w:r>
          </w:p>
        </w:tc>
        <w:tc>
          <w:tcPr>
            <w:tcW w:type="dxa" w:w="3296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当前无直接扰动或干预。</w:t>
            </w:r>
          </w:p>
        </w:tc>
        <w:tc>
          <w:tcPr>
            <w:tcW w:type="dxa" w:w="3296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无 E4/E5 级证据；不能声称治疗靶点或临床效果。</w:t>
            </w:r>
          </w:p>
        </w:tc>
      </w:tr>
    </w:tbl>
    <w:p>
      <w:pPr>
        <w:spacing w:after="0"/>
      </w:pPr>
    </w:p>
    <w:p>
      <w:pPr>
        <w:spacing w:after="140"/>
        <w:ind w:firstLine="408"/>
        <w:jc w:val="both"/>
      </w:pPr>
      <w:r>
        <w:rPr>
          <w:rFonts w:ascii="Calibri" w:hAnsi="Calibri" w:eastAsia="Noto Sans CJK SC"/>
          <w:b w:val="0"/>
        </w:rPr>
        <w:t>QiTeng v0.3.24.2 要求 claim→evidence→interpretation→boundary→next test；学术语气不能超过真实数据级别。主动保留 prior sensitivity、case/control限制和不信息类别。模型大概率或跨资源方向一致仍属于关联性证据，不是直接机制证据。</w:t>
      </w:r>
    </w:p>
    <w:p>
      <w:pPr>
        <w:pStyle w:val="Heading1"/>
      </w:pPr>
      <w:r>
        <w:t>18. 工作包设计：保护既有稿件的双轨安排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72"/>
        <w:gridCol w:w="2472"/>
        <w:gridCol w:w="2472"/>
        <w:gridCol w:w="2472"/>
      </w:tblGrid>
      <w:tr>
        <w:trPr>
          <w:tblHeader w:val="true"/>
          <w:cantSplit/>
        </w:trPr>
        <w:tc>
          <w:tcPr>
            <w:tcW w:type="dxa" w:w="2472"/>
            <w:shd w:fill="234563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Noto Sans CJK SC"/>
                <w:b/>
                <w:color w:val="FFFFFF"/>
                <w:sz w:val="18"/>
              </w:rPr>
              <w:t>工作包</w:t>
            </w:r>
          </w:p>
        </w:tc>
        <w:tc>
          <w:tcPr>
            <w:tcW w:type="dxa" w:w="2472"/>
            <w:shd w:fill="234563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Noto Sans CJK SC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2472"/>
            <w:shd w:fill="234563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Noto Sans CJK SC"/>
                <w:b/>
                <w:color w:val="FFFFFF"/>
                <w:sz w:val="18"/>
              </w:rPr>
              <w:t>具体任务</w:t>
            </w:r>
          </w:p>
        </w:tc>
        <w:tc>
          <w:tcPr>
            <w:tcW w:type="dxa" w:w="2472"/>
            <w:shd w:fill="234563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Noto Sans CJK SC"/>
                <w:b/>
                <w:color w:val="FFFFFF"/>
                <w:sz w:val="18"/>
              </w:rPr>
              <w:t>主要产出与合法出口</w:t>
            </w:r>
          </w:p>
        </w:tc>
      </w:tr>
      <w:tr>
        <w:trPr>
          <w:cantSplit/>
        </w:trPr>
        <w:tc>
          <w:tcPr>
            <w:tcW w:type="dxa" w:w="2472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/>
                <w:sz w:val="16"/>
              </w:rPr>
              <w:t>WP-A0 当前存档</w:t>
            </w:r>
          </w:p>
        </w:tc>
        <w:tc>
          <w:tcPr>
            <w:tcW w:type="dxa" w:w="2472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6"/>
              </w:rPr>
              <w:t>FROZEN</w:t>
            </w:r>
          </w:p>
        </w:tc>
        <w:tc>
          <w:tcPr>
            <w:tcW w:type="dxa" w:w="2472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6"/>
              </w:rPr>
              <w:t>R7B4B2科学结果、作者批准、MIT/CC BY，tag/release/privacy QA。</w:t>
            </w:r>
          </w:p>
        </w:tc>
        <w:tc>
          <w:tcPr>
            <w:tcW w:type="dxa" w:w="2472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6"/>
              </w:rPr>
              <w:t>冻结sha与档案；不重写作者信息。</w:t>
            </w:r>
          </w:p>
        </w:tc>
      </w:tr>
      <w:tr>
        <w:trPr>
          <w:cantSplit/>
        </w:trPr>
        <w:tc>
          <w:tcPr>
            <w:tcW w:type="dxa" w:w="2472"/>
            <w:vAlign w:val="center"/>
            <w:shd w:fill="F5F8FA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/>
                <w:sz w:val="16"/>
              </w:rPr>
              <w:t>WP-A1 二区关闭</w:t>
            </w:r>
          </w:p>
        </w:tc>
        <w:tc>
          <w:tcPr>
            <w:tcW w:type="dxa" w:w="2472"/>
            <w:vAlign w:val="center"/>
            <w:shd w:fill="F5F8FA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6"/>
              </w:rPr>
              <w:t>CAN_PROCEED_WITH_AUTHORS</w:t>
            </w:r>
          </w:p>
        </w:tc>
        <w:tc>
          <w:tcPr>
            <w:tcW w:type="dxa" w:w="2472"/>
            <w:vAlign w:val="center"/>
            <w:shd w:fill="F5F8FA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6"/>
              </w:rPr>
              <w:t>机构适用SCI二区认定、期刊预印本政策与提交账户、版式终检。</w:t>
            </w:r>
          </w:p>
        </w:tc>
        <w:tc>
          <w:tcPr>
            <w:tcW w:type="dxa" w:w="2472"/>
            <w:vAlign w:val="center"/>
            <w:shd w:fill="F5F8FA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6"/>
              </w:rPr>
              <w:t>正式作者提交；不影响B线结果。</w:t>
            </w:r>
          </w:p>
        </w:tc>
      </w:tr>
      <w:tr>
        <w:trPr>
          <w:cantSplit/>
        </w:trPr>
        <w:tc>
          <w:tcPr>
            <w:tcW w:type="dxa" w:w="2472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/>
                <w:sz w:val="16"/>
              </w:rPr>
              <w:t>WP-B0 源身份与统计敏感性</w:t>
            </w:r>
          </w:p>
        </w:tc>
        <w:tc>
          <w:tcPr>
            <w:tcW w:type="dxa" w:w="2472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6"/>
              </w:rPr>
              <w:t>PRECHECK_NEXT</w:t>
            </w:r>
          </w:p>
        </w:tc>
        <w:tc>
          <w:tcPr>
            <w:tcW w:type="dxa" w:w="2472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6"/>
              </w:rPr>
              <w:t>GWAS logistic N convention、原ABF/SuSiE prior；sentinel诊断和47locus率。</w:t>
            </w:r>
          </w:p>
        </w:tc>
        <w:tc>
          <w:tcPr>
            <w:tcW w:type="dxa" w:w="2472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6"/>
              </w:rPr>
              <w:t>低成本定向科学 QA，若不影响解释则STOP。</w:t>
            </w:r>
          </w:p>
        </w:tc>
      </w:tr>
      <w:tr>
        <w:trPr>
          <w:cantSplit/>
        </w:trPr>
        <w:tc>
          <w:tcPr>
            <w:tcW w:type="dxa" w:w="2472"/>
            <w:vAlign w:val="center"/>
            <w:shd w:fill="F5F8FA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/>
                <w:sz w:val="16"/>
              </w:rPr>
              <w:t>WP-B1 FinnGen复核</w:t>
            </w:r>
          </w:p>
        </w:tc>
        <w:tc>
          <w:tcPr>
            <w:tcW w:type="dxa" w:w="2472"/>
            <w:vAlign w:val="center"/>
            <w:shd w:fill="F5F8FA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6"/>
              </w:rPr>
              <w:t>CONDITIONAL</w:t>
            </w:r>
          </w:p>
        </w:tc>
        <w:tc>
          <w:tcPr>
            <w:tcW w:type="dxa" w:w="2472"/>
            <w:vAlign w:val="center"/>
            <w:shd w:fill="F5F8FA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6"/>
              </w:rPr>
              <w:t>endpoint/samples/CS/alleles/LD；B/NK及预先登记27基因覆盖。</w:t>
            </w:r>
          </w:p>
        </w:tc>
        <w:tc>
          <w:tcPr>
            <w:tcW w:type="dxa" w:w="2472"/>
            <w:vAlign w:val="center"/>
            <w:shd w:fill="F5F8FA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6"/>
              </w:rPr>
              <w:t>外部疾病复制有/无/不可评估终裁。</w:t>
            </w:r>
          </w:p>
        </w:tc>
      </w:tr>
      <w:tr>
        <w:trPr>
          <w:cantSplit/>
        </w:trPr>
        <w:tc>
          <w:tcPr>
            <w:tcW w:type="dxa" w:w="2472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/>
                <w:sz w:val="16"/>
              </w:rPr>
              <w:t>WP-B2 器官空间</w:t>
            </w:r>
          </w:p>
        </w:tc>
        <w:tc>
          <w:tcPr>
            <w:tcW w:type="dxa" w:w="2472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6"/>
              </w:rPr>
              <w:t>OPTIONAL_LOW_COST</w:t>
            </w:r>
          </w:p>
        </w:tc>
        <w:tc>
          <w:tcPr>
            <w:tcW w:type="dxa" w:w="2472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6"/>
              </w:rPr>
              <w:t>OMIX001122 processed 34.63MB spatial先测数据身份，必要时扫描其scRNA。</w:t>
            </w:r>
          </w:p>
        </w:tc>
        <w:tc>
          <w:tcPr>
            <w:tcW w:type="dxa" w:w="2472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6"/>
              </w:rPr>
              <w:t>仅明确新的可检测或供者层证据；不追P值。</w:t>
            </w:r>
          </w:p>
        </w:tc>
      </w:tr>
      <w:tr>
        <w:trPr>
          <w:cantSplit/>
        </w:trPr>
        <w:tc>
          <w:tcPr>
            <w:tcW w:type="dxa" w:w="2472"/>
            <w:vAlign w:val="center"/>
            <w:shd w:fill="F5F8FA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/>
                <w:sz w:val="16"/>
              </w:rPr>
              <w:t>WP-B3 模拟升阶</w:t>
            </w:r>
          </w:p>
        </w:tc>
        <w:tc>
          <w:tcPr>
            <w:tcW w:type="dxa" w:w="2472"/>
            <w:vAlign w:val="center"/>
            <w:shd w:fill="F5F8FA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6"/>
              </w:rPr>
              <w:t>Q1_ONLY_GATE</w:t>
            </w:r>
          </w:p>
        </w:tc>
        <w:tc>
          <w:tcPr>
            <w:tcW w:type="dxa" w:w="2472"/>
            <w:vAlign w:val="center"/>
            <w:shd w:fill="F5F8FA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6"/>
              </w:rPr>
              <w:t>多个经验LD、完整跨L/prior gate、错误/功效/消极输出。</w:t>
            </w:r>
          </w:p>
        </w:tc>
        <w:tc>
          <w:tcPr>
            <w:tcW w:type="dxa" w:w="2472"/>
            <w:vAlign w:val="center"/>
            <w:shd w:fill="F5F8FA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6"/>
              </w:rPr>
              <w:t>通过完整证据门再冻结，未批准不运行。</w:t>
            </w:r>
          </w:p>
        </w:tc>
      </w:tr>
      <w:tr>
        <w:trPr>
          <w:cantSplit/>
        </w:trPr>
        <w:tc>
          <w:tcPr>
            <w:tcW w:type="dxa" w:w="2472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/>
                <w:sz w:val="16"/>
              </w:rPr>
              <w:t>WP-B4 论文/出版图</w:t>
            </w:r>
          </w:p>
        </w:tc>
        <w:tc>
          <w:tcPr>
            <w:tcW w:type="dxa" w:w="2472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6"/>
              </w:rPr>
              <w:t>DEPENDS</w:t>
            </w:r>
          </w:p>
        </w:tc>
        <w:tc>
          <w:tcPr>
            <w:tcW w:type="dxa" w:w="2472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6"/>
              </w:rPr>
              <w:t>论断台账、区域图、补充材料/引文与新作者批准。</w:t>
            </w:r>
          </w:p>
        </w:tc>
        <w:tc>
          <w:tcPr>
            <w:tcW w:type="dxa" w:w="2472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6"/>
              </w:rPr>
              <w:t>形成v4研究结果之后的论文修订，而非从结果前写定阳性。</w:t>
            </w:r>
          </w:p>
        </w:tc>
      </w:tr>
    </w:tbl>
    <w:p>
      <w:pPr>
        <w:spacing w:after="0"/>
      </w:pPr>
    </w:p>
    <w:p>
      <w:pPr>
        <w:pStyle w:val="Heading1"/>
      </w:pPr>
      <w:r>
        <w:t>19. RP v4 硬门（G0–G7）与出口决策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96"/>
        <w:gridCol w:w="3296"/>
        <w:gridCol w:w="3296"/>
      </w:tblGrid>
      <w:tr>
        <w:trPr>
          <w:tblHeader w:val="true"/>
          <w:cantSplit/>
        </w:trPr>
        <w:tc>
          <w:tcPr>
            <w:tcW w:type="dxa" w:w="3296"/>
            <w:shd w:fill="234563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Noto Sans CJK SC"/>
                <w:b/>
                <w:color w:val="FFFFFF"/>
                <w:sz w:val="18"/>
              </w:rPr>
              <w:t>Gate</w:t>
            </w:r>
          </w:p>
        </w:tc>
        <w:tc>
          <w:tcPr>
            <w:tcW w:type="dxa" w:w="3296"/>
            <w:shd w:fill="234563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Noto Sans CJK SC"/>
                <w:b/>
                <w:color w:val="FFFFFF"/>
                <w:sz w:val="18"/>
              </w:rPr>
              <w:t>入门问题</w:t>
            </w:r>
          </w:p>
        </w:tc>
        <w:tc>
          <w:tcPr>
            <w:tcW w:type="dxa" w:w="3296"/>
            <w:shd w:fill="234563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Noto Sans CJK SC"/>
                <w:b/>
                <w:color w:val="FFFFFF"/>
                <w:sz w:val="18"/>
              </w:rPr>
              <w:t>PASS／HOLD／STOP 解释</w:t>
            </w:r>
          </w:p>
        </w:tc>
      </w:tr>
      <w:tr>
        <w:trPr>
          <w:cantSplit/>
        </w:trPr>
        <w:tc>
          <w:tcPr>
            <w:tcW w:type="dxa" w:w="3296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/>
                <w:sz w:val="16"/>
              </w:rPr>
              <w:t>G0 | snapshot</w:t>
            </w:r>
          </w:p>
        </w:tc>
        <w:tc>
          <w:tcPr>
            <w:tcW w:type="dxa" w:w="3296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6"/>
              </w:rPr>
              <w:t>现有R7B4B2、RP3、YR1(6)、GitHub tag的字节/科学身份是否建立？</w:t>
            </w:r>
          </w:p>
        </w:tc>
        <w:tc>
          <w:tcPr>
            <w:tcW w:type="dxa" w:w="3296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6"/>
              </w:rPr>
              <w:t>PASS：旧稿保留且新工作写独立目录；不完整则HOLD。</w:t>
            </w:r>
          </w:p>
        </w:tc>
      </w:tr>
      <w:tr>
        <w:trPr>
          <w:cantSplit/>
        </w:trPr>
        <w:tc>
          <w:tcPr>
            <w:tcW w:type="dxa" w:w="3296"/>
            <w:vAlign w:val="center"/>
            <w:shd w:fill="F5F8FA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/>
                <w:sz w:val="16"/>
              </w:rPr>
              <w:t>G1 | statistical audit</w:t>
            </w:r>
          </w:p>
        </w:tc>
        <w:tc>
          <w:tcPr>
            <w:tcW w:type="dxa" w:w="3296"/>
            <w:vAlign w:val="center"/>
            <w:shd w:fill="F5F8FA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6"/>
              </w:rPr>
              <w:t>case-control N、LD、prior mismatch疑点是否有真实方法来源？</w:t>
            </w:r>
          </w:p>
        </w:tc>
        <w:tc>
          <w:tcPr>
            <w:tcW w:type="dxa" w:w="3296"/>
            <w:vAlign w:val="center"/>
            <w:shd w:fill="F5F8FA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6"/>
              </w:rPr>
              <w:t>无实质问题：PASS_NO_RERUN；存在影响：针对性RERUN；未核对：HOLD。</w:t>
            </w:r>
          </w:p>
        </w:tc>
      </w:tr>
      <w:tr>
        <w:trPr>
          <w:cantSplit/>
        </w:trPr>
        <w:tc>
          <w:tcPr>
            <w:tcW w:type="dxa" w:w="3296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/>
                <w:sz w:val="16"/>
              </w:rPr>
              <w:t>G2 | independent GWAS</w:t>
            </w:r>
          </w:p>
        </w:tc>
        <w:tc>
          <w:tcPr>
            <w:tcW w:type="dxa" w:w="3296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6"/>
              </w:rPr>
              <w:t>FinnGen端点可直接获得足够信息并独立于原病例GWAS吗？</w:t>
            </w:r>
          </w:p>
        </w:tc>
        <w:tc>
          <w:tcPr>
            <w:tcW w:type="dxa" w:w="3296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6"/>
              </w:rPr>
              <w:t>可对齐：GO到signal pair；否则UNTESTABLE/NO_RETURN，不作负效应证明。</w:t>
            </w:r>
          </w:p>
        </w:tc>
      </w:tr>
      <w:tr>
        <w:trPr>
          <w:cantSplit/>
        </w:trPr>
        <w:tc>
          <w:tcPr>
            <w:tcW w:type="dxa" w:w="3296"/>
            <w:vAlign w:val="center"/>
            <w:shd w:fill="F5F8FA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/>
                <w:sz w:val="16"/>
              </w:rPr>
              <w:t>G3 | spatial</w:t>
            </w:r>
          </w:p>
        </w:tc>
        <w:tc>
          <w:tcPr>
            <w:tcW w:type="dxa" w:w="3296"/>
            <w:vAlign w:val="center"/>
            <w:shd w:fill="F5F8FA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6"/>
              </w:rPr>
              <w:t>OMIX样本和donor映射能否支持合规器官推断？</w:t>
            </w:r>
          </w:p>
        </w:tc>
        <w:tc>
          <w:tcPr>
            <w:tcW w:type="dxa" w:w="3296"/>
            <w:vAlign w:val="center"/>
            <w:shd w:fill="F5F8FA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6"/>
              </w:rPr>
              <w:t>可明确 donor组别：限定分析；仅spot/归属不明：LOCALIZATION_ONLY或STOP。</w:t>
            </w:r>
          </w:p>
        </w:tc>
      </w:tr>
      <w:tr>
        <w:trPr>
          <w:cantSplit/>
        </w:trPr>
        <w:tc>
          <w:tcPr>
            <w:tcW w:type="dxa" w:w="3296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/>
                <w:sz w:val="16"/>
              </w:rPr>
              <w:t>G4 | 47-locus stability</w:t>
            </w:r>
          </w:p>
        </w:tc>
        <w:tc>
          <w:tcPr>
            <w:tcW w:type="dxa" w:w="3296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6"/>
              </w:rPr>
              <w:t>信号结构对位点构成敏感，是否如实呈现不确定范围？</w:t>
            </w:r>
          </w:p>
        </w:tc>
        <w:tc>
          <w:tcPr>
            <w:tcW w:type="dxa" w:w="3296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6"/>
              </w:rPr>
              <w:t>PASS需要描述来源与分母；不是要求高H4率或小不确定度。</w:t>
            </w:r>
          </w:p>
        </w:tc>
      </w:tr>
      <w:tr>
        <w:trPr>
          <w:cantSplit/>
        </w:trPr>
        <w:tc>
          <w:tcPr>
            <w:tcW w:type="dxa" w:w="3296"/>
            <w:vAlign w:val="center"/>
            <w:shd w:fill="F5F8FA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/>
                <w:sz w:val="16"/>
              </w:rPr>
              <w:t>G5 | Q1 calibration</w:t>
            </w:r>
          </w:p>
        </w:tc>
        <w:tc>
          <w:tcPr>
            <w:tcW w:type="dxa" w:w="3296"/>
            <w:vAlign w:val="center"/>
            <w:shd w:fill="F5F8FA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6"/>
              </w:rPr>
              <w:t>是否必须证明端到端gate比基线更适用，且已有资源/预算？</w:t>
            </w:r>
          </w:p>
        </w:tc>
        <w:tc>
          <w:tcPr>
            <w:tcW w:type="dxa" w:w="3296"/>
            <w:vAlign w:val="center"/>
            <w:shd w:fill="F5F8FA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6"/>
              </w:rPr>
              <w:t>仅在缺口、estimand、模板、预算、stop rules全冻结时GO。</w:t>
            </w:r>
          </w:p>
        </w:tc>
      </w:tr>
      <w:tr>
        <w:trPr>
          <w:cantSplit/>
        </w:trPr>
        <w:tc>
          <w:tcPr>
            <w:tcW w:type="dxa" w:w="3296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/>
                <w:sz w:val="16"/>
              </w:rPr>
              <w:t>G6 | Figure/source</w:t>
            </w:r>
          </w:p>
        </w:tc>
        <w:tc>
          <w:tcPr>
            <w:tcW w:type="dxa" w:w="3296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6"/>
              </w:rPr>
              <w:t>所有新文字、表和图可经来源hash与图注审计？</w:t>
            </w:r>
          </w:p>
        </w:tc>
        <w:tc>
          <w:tcPr>
            <w:tcW w:type="dxa" w:w="3296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6"/>
              </w:rPr>
              <w:t>缺源或机制越界则HOLD；原结果不能覆盖。</w:t>
            </w:r>
          </w:p>
        </w:tc>
      </w:tr>
      <w:tr>
        <w:trPr>
          <w:cantSplit/>
        </w:trPr>
        <w:tc>
          <w:tcPr>
            <w:tcW w:type="dxa" w:w="3296"/>
            <w:vAlign w:val="center"/>
            <w:shd w:fill="F5F8FA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/>
                <w:sz w:val="16"/>
              </w:rPr>
              <w:t>G7 | journal + author</w:t>
            </w:r>
          </w:p>
        </w:tc>
        <w:tc>
          <w:tcPr>
            <w:tcW w:type="dxa" w:w="3296"/>
            <w:vAlign w:val="center"/>
            <w:shd w:fill="F5F8FA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6"/>
              </w:rPr>
              <w:t>SCI分区在指定年/体系/学科确证且作者批准更新版本？</w:t>
            </w:r>
          </w:p>
        </w:tc>
        <w:tc>
          <w:tcPr>
            <w:tcW w:type="dxa" w:w="3296"/>
            <w:vAlign w:val="center"/>
            <w:shd w:fill="F5F8FA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6"/>
              </w:rPr>
              <w:t>Q2或Q1路线经作者决策后提交；未有机构分区/授权则NOT_SUBMITTED。</w:t>
            </w:r>
          </w:p>
        </w:tc>
      </w:tr>
    </w:tbl>
    <w:p>
      <w:pPr>
        <w:spacing w:after="0"/>
      </w:pPr>
    </w:p>
    <w:p>
      <w:pPr>
        <w:spacing w:after="140"/>
        <w:ind w:firstLine="408"/>
        <w:jc w:val="both"/>
      </w:pPr>
      <w:r>
        <w:rPr>
          <w:rFonts w:ascii="Calibri" w:hAnsi="Calibri" w:eastAsia="Noto Sans CJK SC"/>
          <w:b w:val="0"/>
        </w:rPr>
        <w:t>Q1 与 Q2 是科学投入路线而不是预定实验阳性的分组。G0–G4 通过而 B3 无现实回报时，转回 Q2 关闭分支；G5 提供跨结构系统增量、G2 得到充分外部证据、且新的逻辑不能在已发表资源中找到直接替代时，才考虑 Q1 候选。任何分支都禁止按H4大小挑选新基因。</w:t>
      </w:r>
    </w:p>
    <w:p>
      <w:pPr>
        <w:pStyle w:val="Heading1"/>
      </w:pPr>
      <w:r>
        <w:t>20. 论文写作逻辑与论断语气升级</w:t>
      </w:r>
    </w:p>
    <w:p>
      <w:pPr>
        <w:pStyle w:val="Heading2"/>
      </w:pPr>
      <w:r>
        <w:t>20.1 推荐的中心题目</w:t>
      </w:r>
    </w:p>
    <w:p>
      <w:pPr>
        <w:spacing w:after="140"/>
        <w:ind w:firstLine="408"/>
        <w:jc w:val="both"/>
      </w:pPr>
      <w:r>
        <w:rPr>
          <w:rFonts w:ascii="Calibri" w:hAnsi="Calibri" w:eastAsia="Noto Sans CJK SC"/>
          <w:b w:val="0"/>
        </w:rPr>
        <w:t>Q2 基线：Input-matched multi-signal colocalization clarifies immune-cell regulatory assignments at primary biliary cholangitis risk loci。此标题已与作者批准稿一致，可保留。</w:t>
      </w:r>
    </w:p>
    <w:p>
      <w:pPr>
        <w:spacing w:after="140"/>
        <w:ind w:firstLine="408"/>
        <w:jc w:val="both"/>
      </w:pPr>
      <w:r>
        <w:rPr>
          <w:rFonts w:ascii="Calibri" w:hAnsi="Calibri" w:eastAsia="Noto Sans CJK SC"/>
          <w:b w:val="0"/>
        </w:rPr>
        <w:t>若新外部疾病验证完成且 signal-identity 符合严格证据门，可考虑候选：Independent disease and molecular-QTL evidence bounds immune-cell regulatory assignments at primary biliary cholangitis loci。该标题属于未来有条件提案，不应提前替换当前稿。</w:t>
      </w:r>
    </w:p>
    <w:p>
      <w:pPr>
        <w:pStyle w:val="Heading2"/>
      </w:pPr>
      <w:r>
        <w:t>20.2 Results 拟定顺序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96"/>
        <w:gridCol w:w="3296"/>
        <w:gridCol w:w="3296"/>
      </w:tblGrid>
      <w:tr>
        <w:trPr>
          <w:tblHeader w:val="true"/>
          <w:cantSplit/>
        </w:trPr>
        <w:tc>
          <w:tcPr>
            <w:tcW w:type="dxa" w:w="3296"/>
            <w:shd w:fill="234563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Noto Sans CJK SC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3296"/>
            <w:shd w:fill="234563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Noto Sans CJK SC"/>
                <w:b/>
                <w:color w:val="FFFFFF"/>
                <w:sz w:val="18"/>
              </w:rPr>
              <w:t>科学句首应回答</w:t>
            </w:r>
          </w:p>
        </w:tc>
        <w:tc>
          <w:tcPr>
            <w:tcW w:type="dxa" w:w="3296"/>
            <w:shd w:fill="234563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Noto Sans CJK SC"/>
                <w:b/>
                <w:color w:val="FFFFFF"/>
                <w:sz w:val="18"/>
              </w:rPr>
              <w:t>唯一分母与反证</w:t>
            </w:r>
          </w:p>
        </w:tc>
      </w:tr>
      <w:tr>
        <w:trPr>
          <w:cantSplit/>
        </w:trPr>
        <w:tc>
          <w:tcPr>
            <w:tcW w:type="dxa" w:w="3296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/>
                <w:sz w:val="17"/>
              </w:rPr>
              <w:t>1. Study scope</w:t>
            </w:r>
          </w:p>
        </w:tc>
        <w:tc>
          <w:tcPr>
            <w:tcW w:type="dxa" w:w="3296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哪些对象确实接受了哪一层分析？</w:t>
            </w:r>
          </w:p>
        </w:tc>
        <w:tc>
          <w:tcPr>
            <w:tcW w:type="dxa" w:w="3296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6923→5460→642；H3 455等选择条件。</w:t>
            </w:r>
          </w:p>
        </w:tc>
      </w:tr>
      <w:tr>
        <w:trPr>
          <w:cantSplit/>
        </w:trPr>
        <w:tc>
          <w:tcPr>
            <w:tcW w:type="dxa" w:w="3296"/>
            <w:vAlign w:val="center"/>
            <w:shd w:fill="F5F8FA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/>
                <w:sz w:val="17"/>
              </w:rPr>
              <w:t>2. A0/A1/A2/M</w:t>
            </w:r>
          </w:p>
        </w:tc>
        <w:tc>
          <w:tcPr>
            <w:tcW w:type="dxa" w:w="3296"/>
            <w:vAlign w:val="center"/>
            <w:shd w:fill="F5F8FA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输入差异解释了多少，方法差异仍剩多少？</w:t>
            </w:r>
          </w:p>
        </w:tc>
        <w:tc>
          <w:tcPr>
            <w:tcW w:type="dxa" w:w="3296"/>
            <w:vAlign w:val="center"/>
            <w:shd w:fill="F5F8FA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15/19变化、A2 79/113和10/452，非真值纠错。</w:t>
            </w:r>
          </w:p>
        </w:tc>
      </w:tr>
      <w:tr>
        <w:trPr>
          <w:cantSplit/>
        </w:trPr>
        <w:tc>
          <w:tcPr>
            <w:tcW w:type="dxa" w:w="3296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/>
                <w:sz w:val="17"/>
              </w:rPr>
              <w:t>3. Signal architecture</w:t>
            </w:r>
          </w:p>
        </w:tc>
        <w:tc>
          <w:tcPr>
            <w:tcW w:type="dxa" w:w="3296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何处共享与不同信号并存？</w:t>
            </w:r>
          </w:p>
        </w:tc>
        <w:tc>
          <w:tcPr>
            <w:tcW w:type="dxa" w:w="3296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92H4、32mixed、428H3，pair层身份。</w:t>
            </w:r>
          </w:p>
        </w:tc>
      </w:tr>
      <w:tr>
        <w:trPr>
          <w:cantSplit/>
        </w:trPr>
        <w:tc>
          <w:tcPr>
            <w:tcW w:type="dxa" w:w="3296"/>
            <w:vAlign w:val="center"/>
            <w:shd w:fill="F5F8FA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/>
                <w:sz w:val="17"/>
              </w:rPr>
              <w:t>4. Scenario tradeoff</w:t>
            </w:r>
          </w:p>
        </w:tc>
        <w:tc>
          <w:tcPr>
            <w:tcW w:type="dxa" w:w="3296"/>
            <w:vAlign w:val="center"/>
            <w:shd w:fill="F5F8FA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何时减少false H4以牺牲recall为代价？</w:t>
            </w:r>
          </w:p>
        </w:tc>
        <w:tc>
          <w:tcPr>
            <w:tcW w:type="dxa" w:w="3296"/>
            <w:vAlign w:val="center"/>
            <w:shd w:fill="F5F8FA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486000总重复与160782 pair-evaluable双分母。</w:t>
            </w:r>
          </w:p>
        </w:tc>
      </w:tr>
      <w:tr>
        <w:trPr>
          <w:cantSplit/>
        </w:trPr>
        <w:tc>
          <w:tcPr>
            <w:tcW w:type="dxa" w:w="3296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/>
                <w:sz w:val="17"/>
              </w:rPr>
              <w:t>5. External stratification</w:t>
            </w:r>
          </w:p>
        </w:tc>
        <w:tc>
          <w:tcPr>
            <w:tcW w:type="dxa" w:w="3296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IL12RB2与FCRL3获得哪些独立/非独立证据？</w:t>
            </w:r>
          </w:p>
        </w:tc>
        <w:tc>
          <w:tcPr>
            <w:tcW w:type="dxa" w:w="3296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区分GWAS vs QTL资源；FinnGen 3层不算3 cohort。</w:t>
            </w:r>
          </w:p>
        </w:tc>
      </w:tr>
      <w:tr>
        <w:trPr>
          <w:cantSplit/>
        </w:trPr>
        <w:tc>
          <w:tcPr>
            <w:tcW w:type="dxa" w:w="3296"/>
            <w:vAlign w:val="center"/>
            <w:shd w:fill="F5F8FA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/>
                <w:sz w:val="17"/>
              </w:rPr>
              <w:t>6. Organ limit</w:t>
            </w:r>
          </w:p>
        </w:tc>
        <w:tc>
          <w:tcPr>
            <w:tcW w:type="dxa" w:w="3296"/>
            <w:vAlign w:val="center"/>
            <w:shd w:fill="F5F8FA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肝组织/空间层支持到什么层级？</w:t>
            </w:r>
          </w:p>
        </w:tc>
        <w:tc>
          <w:tcPr>
            <w:tcW w:type="dxa" w:w="3296"/>
            <w:vAlign w:val="center"/>
            <w:shd w:fill="F5F8FA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5vs5 q=.111；空间待来源身份证明。</w:t>
            </w:r>
          </w:p>
        </w:tc>
      </w:tr>
    </w:tbl>
    <w:p>
      <w:pPr>
        <w:spacing w:after="0"/>
      </w:pPr>
    </w:p>
    <w:p>
      <w:pPr>
        <w:pStyle w:val="Heading2"/>
      </w:pPr>
      <w:r>
        <w:t>20.3 Introduction/Discussion 与 hostile reviewer 对齐</w:t>
      </w:r>
    </w:p>
    <w:p>
      <w:pPr>
        <w:spacing w:after="140"/>
        <w:ind w:firstLine="408"/>
        <w:jc w:val="both"/>
      </w:pPr>
      <w:r>
        <w:rPr>
          <w:rFonts w:ascii="Calibri" w:hAnsi="Calibri" w:eastAsia="Noto Sans CJK SC"/>
          <w:b w:val="0"/>
        </w:rPr>
        <w:t>Introduction 不以基因发现为前提，而从来源LD与cell context在多信号区域的可识别性张力起步。Discussion 应依次解释输入归因、signal-pair mixed、simulation tradeoff、external independence、organ-level null 与未来可证伪测试。不得用“本研究证明机制”“广泛改善预测”“新靶点可以治疗PBC”等超过统计证据上限的措辞。</w:t>
      </w:r>
    </w:p>
    <w:p>
      <w:pPr>
        <w:pStyle w:val="Heading1"/>
      </w:pPr>
      <w:r>
        <w:t>21. SCI 一区／二区双路径投稿策略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72"/>
        <w:gridCol w:w="2472"/>
        <w:gridCol w:w="2472"/>
        <w:gridCol w:w="2472"/>
      </w:tblGrid>
      <w:tr>
        <w:trPr>
          <w:tblHeader w:val="true"/>
          <w:cantSplit/>
        </w:trPr>
        <w:tc>
          <w:tcPr>
            <w:tcW w:type="dxa" w:w="2472"/>
            <w:shd w:fill="234563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Noto Sans CJK SC"/>
                <w:b/>
                <w:color w:val="FFFFFF"/>
                <w:sz w:val="18"/>
              </w:rPr>
              <w:t>路线</w:t>
            </w:r>
          </w:p>
        </w:tc>
        <w:tc>
          <w:tcPr>
            <w:tcW w:type="dxa" w:w="2472"/>
            <w:shd w:fill="234563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Noto Sans CJK SC"/>
                <w:b/>
                <w:color w:val="FFFFFF"/>
                <w:sz w:val="18"/>
              </w:rPr>
              <w:t>最低科学门</w:t>
            </w:r>
          </w:p>
        </w:tc>
        <w:tc>
          <w:tcPr>
            <w:tcW w:type="dxa" w:w="2472"/>
            <w:shd w:fill="234563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Noto Sans CJK SC"/>
                <w:b/>
                <w:color w:val="FFFFFF"/>
                <w:sz w:val="18"/>
              </w:rPr>
              <w:t>可能适配的期刊类型（非分区认证）</w:t>
            </w:r>
          </w:p>
        </w:tc>
        <w:tc>
          <w:tcPr>
            <w:tcW w:type="dxa" w:w="2472"/>
            <w:shd w:fill="234563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Noto Sans CJK SC"/>
                <w:b/>
                <w:color w:val="FFFFFF"/>
                <w:sz w:val="18"/>
              </w:rPr>
              <w:t>停止条件</w:t>
            </w:r>
          </w:p>
        </w:tc>
      </w:tr>
      <w:tr>
        <w:trPr>
          <w:cantSplit/>
        </w:trPr>
        <w:tc>
          <w:tcPr>
            <w:tcW w:type="dxa" w:w="2472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/>
                <w:sz w:val="17"/>
              </w:rPr>
              <w:t>保护已有稿件 / Q2</w:t>
            </w:r>
          </w:p>
        </w:tc>
        <w:tc>
          <w:tcPr>
            <w:tcW w:type="dxa" w:w="2472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已完成的源绑定图、完整补充、作者批准、期刊范围与机构分区确认。</w:t>
            </w:r>
          </w:p>
        </w:tc>
        <w:tc>
          <w:tcPr>
            <w:tcW w:type="dxa" w:w="2472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疾病聚焦医学基因组学/统计遗传学应用原创研究（既有Human Genomics候选）。</w:t>
            </w:r>
          </w:p>
        </w:tc>
        <w:tc>
          <w:tcPr>
            <w:tcW w:type="dxa" w:w="2472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无新的必需科学错误时不强制展开Q1分析。</w:t>
            </w:r>
          </w:p>
        </w:tc>
      </w:tr>
      <w:tr>
        <w:trPr>
          <w:cantSplit/>
        </w:trPr>
        <w:tc>
          <w:tcPr>
            <w:tcW w:type="dxa" w:w="2472"/>
            <w:vAlign w:val="center"/>
            <w:shd w:fill="F5F8FA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/>
                <w:sz w:val="17"/>
              </w:rPr>
              <w:t>选择性升级 / Q1</w:t>
            </w:r>
          </w:p>
        </w:tc>
        <w:tc>
          <w:tcPr>
            <w:tcW w:type="dxa" w:w="2472"/>
            <w:vAlign w:val="center"/>
            <w:shd w:fill="F5F8FA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独立疾病信号级复制或跨模态可检验增量＋不止两模板的严格校准或外部验证。</w:t>
            </w:r>
          </w:p>
        </w:tc>
        <w:tc>
          <w:tcPr>
            <w:tcW w:type="dxa" w:w="2472"/>
            <w:vAlign w:val="center"/>
            <w:shd w:fill="F5F8FA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高标准遗传学/系统生物学/综合基因组学刊物；须逐刊查当年分区与原创性要求。</w:t>
            </w:r>
          </w:p>
        </w:tc>
        <w:tc>
          <w:tcPr>
            <w:tcW w:type="dxa" w:w="2472"/>
            <w:vAlign w:val="center"/>
            <w:shd w:fill="F5F8FA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无新可复算证据或成本超过预期回报则GO_Q2，而非换病种。</w:t>
            </w:r>
          </w:p>
        </w:tc>
      </w:tr>
      <w:tr>
        <w:trPr>
          <w:cantSplit/>
        </w:trPr>
        <w:tc>
          <w:tcPr>
            <w:tcW w:type="dxa" w:w="2472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/>
                <w:sz w:val="17"/>
              </w:rPr>
              <w:t>真正方法学论文 / future</w:t>
            </w:r>
          </w:p>
        </w:tc>
        <w:tc>
          <w:tcPr>
            <w:tcW w:type="dxa" w:w="2472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提出并验证新estimand/estimator、选择偏倚控制与跨疾病/祖源泛化。</w:t>
            </w:r>
          </w:p>
        </w:tc>
        <w:tc>
          <w:tcPr>
            <w:tcW w:type="dxa" w:w="2472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统计遗传学方法刊物。</w:t>
            </w:r>
          </w:p>
        </w:tc>
        <w:tc>
          <w:tcPr>
            <w:tcW w:type="dxa" w:w="2472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当前项目未达到“新算法论文”硬门，不作为默认轨道。</w:t>
            </w:r>
          </w:p>
        </w:tc>
      </w:tr>
    </w:tbl>
    <w:p>
      <w:pPr>
        <w:spacing w:after="0"/>
      </w:pPr>
    </w:p>
    <w:p>
      <w:pPr>
        <w:spacing w:after="140"/>
        <w:ind w:firstLine="408"/>
        <w:jc w:val="both"/>
      </w:pPr>
      <w:r>
        <w:rPr>
          <w:rFonts w:ascii="Calibri" w:hAnsi="Calibri" w:eastAsia="Noto Sans CJK SC"/>
          <w:b w:val="0"/>
        </w:rPr>
        <w:t>2026 年正式分区需要用户所属单位采用的 SCI/JCR 或中科院分区体系、学科类别和年份证据核实，不能从期刊影响因子或公开排名推定 Q1/Q2。当前 Human Genomics release 已在 GitHub 发布全文，转投其他期刊之前必须逐刊确认 prior online dissemination/preprint policy 并真实披露。Springer Nature 通常允许预印本，不意味着所有候选期刊都采用相同规则。</w:t>
      </w:r>
    </w:p>
    <w:p>
      <w:pPr>
        <w:pStyle w:val="Heading1"/>
      </w:pPr>
      <w:r>
        <w:t>22. 开放科学与重复性工程补救</w:t>
      </w:r>
    </w:p>
    <w:p>
      <w:pPr>
        <w:pStyle w:val="Heading2"/>
      </w:pPr>
      <w:r>
        <w:t>22.1 重复性入口漂移是具体工程风险</w:t>
      </w:r>
    </w:p>
    <w:p>
      <w:pPr>
        <w:spacing w:after="140"/>
        <w:ind w:firstLine="408"/>
        <w:jc w:val="both"/>
      </w:pPr>
      <w:r>
        <w:rPr>
          <w:rFonts w:ascii="Calibri" w:hAnsi="Calibri" w:eastAsia="Noto Sans CJK SC"/>
          <w:b w:val="0"/>
        </w:rPr>
        <w:t>当前公开仓库名仍为 igan-open-regulatory-evidence，其 README 虽附 R7B 最新状态，但默认 Reproduction 段还突出旧 IgAN R6A2B0 runner/IGAN_PROJECT_ROOT。读者若仅照顶层快速开始，可能进入错误的旧疾病流程。此处不是科学数据造假，而是“可独立复现当前 PBC 主结论”的入口准确性缺陷。</w:t>
      </w:r>
    </w:p>
    <w:p>
      <w:pPr>
        <w:pStyle w:val="Heading2"/>
      </w:pPr>
      <w:r>
        <w:t>22.2 应交付的公开运行包</w:t>
      </w:r>
    </w:p>
    <w:p>
      <w:pPr>
        <w:spacing w:after="40"/>
        <w:ind w:left="317" w:hanging="215"/>
      </w:pPr>
      <w:r>
        <w:rPr>
          <w:rFonts w:ascii="Calibri" w:hAnsi="Calibri" w:eastAsia="Noto Sans CJK SC"/>
          <w:b/>
          <w:color w:val="326586"/>
        </w:rPr>
        <w:t xml:space="preserve">•  </w:t>
      </w:r>
      <w:r>
        <w:rPr>
          <w:rFonts w:ascii="Calibri" w:hAnsi="Calibri" w:eastAsia="Noto Sans CJK SC"/>
        </w:rPr>
        <w:t>建立 `PBC_REPRODUCE_CURRENT_RELEASE.md`，写清R7B4B2 tag、main commit、有效 scientific master、公共 vs 本地大文件、OneK/FinnGen许可。</w:t>
      </w:r>
    </w:p>
    <w:p>
      <w:pPr>
        <w:spacing w:after="40"/>
        <w:ind w:left="317" w:hanging="215"/>
      </w:pPr>
      <w:r>
        <w:rPr>
          <w:rFonts w:ascii="Calibri" w:hAnsi="Calibri" w:eastAsia="Noto Sans CJK SC"/>
          <w:b/>
          <w:color w:val="326586"/>
        </w:rPr>
        <w:t xml:space="preserve">•  </w:t>
      </w:r>
      <w:r>
        <w:rPr>
          <w:rFonts w:ascii="Calibri" w:hAnsi="Calibri" w:eastAsia="Noto Sans CJK SC"/>
        </w:rPr>
        <w:t>最低复算层一：用公开 small outputs 独立生成 642转移、A2同输入表、sim matched/error通道表及Figure2/3；无需个体级 OneK。</w:t>
      </w:r>
    </w:p>
    <w:p>
      <w:pPr>
        <w:spacing w:after="40"/>
        <w:ind w:left="317" w:hanging="215"/>
      </w:pPr>
      <w:r>
        <w:rPr>
          <w:rFonts w:ascii="Calibri" w:hAnsi="Calibri" w:eastAsia="Noto Sans CJK SC"/>
          <w:b/>
          <w:color w:val="326586"/>
        </w:rPr>
        <w:t xml:space="preserve">•  </w:t>
      </w:r>
      <w:r>
        <w:rPr>
          <w:rFonts w:ascii="Calibri" w:hAnsi="Calibri" w:eastAsia="Noto Sans CJK SC"/>
        </w:rPr>
        <w:t>完整科学层二：若用户合法拥有 donor genotype 和原受限数据，从manifest/环境锁重跑指定OneK/QTL模型、SuSiE/coloc；路径与版本清楚。</w:t>
      </w:r>
    </w:p>
    <w:p>
      <w:pPr>
        <w:spacing w:after="40"/>
        <w:ind w:left="317" w:hanging="215"/>
      </w:pPr>
      <w:r>
        <w:rPr>
          <w:rFonts w:ascii="Calibri" w:hAnsi="Calibri" w:eastAsia="Noto Sans CJK SC"/>
          <w:b/>
          <w:color w:val="326586"/>
        </w:rPr>
        <w:t xml:space="preserve">•  </w:t>
      </w:r>
      <w:r>
        <w:rPr>
          <w:rFonts w:ascii="Calibri" w:hAnsi="Calibri" w:eastAsia="Noto Sans CJK SC"/>
        </w:rPr>
        <w:t>发布包图源一致性测试：每图数字源哈希、矢量/PNG、参考引用首次出现和修订后的AI披露。</w:t>
      </w:r>
    </w:p>
    <w:p>
      <w:pPr>
        <w:spacing w:after="40"/>
        <w:ind w:left="317" w:hanging="215"/>
      </w:pPr>
      <w:r>
        <w:rPr>
          <w:rFonts w:ascii="Calibri" w:hAnsi="Calibri" w:eastAsia="Noto Sans CJK SC"/>
          <w:b/>
          <w:color w:val="326586"/>
        </w:rPr>
        <w:t xml:space="preserve">•  </w:t>
      </w:r>
      <w:r>
        <w:rPr>
          <w:rFonts w:ascii="Calibri" w:hAnsi="Calibri" w:eastAsia="Noto Sans CJK SC"/>
        </w:rPr>
        <w:t>GitHub release已正式发布；Zenodo DOI尚需用户有权限的账户通过认证完成，不将拟定 DOI 提前写稿。</w:t>
      </w:r>
    </w:p>
    <w:p>
      <w:pPr>
        <w:spacing w:after="40"/>
        <w:ind w:left="317" w:hanging="215"/>
      </w:pPr>
      <w:r>
        <w:rPr>
          <w:rFonts w:ascii="Calibri" w:hAnsi="Calibri" w:eastAsia="Noto Sans CJK SC"/>
          <w:b/>
          <w:color w:val="326586"/>
        </w:rPr>
        <w:t xml:space="preserve">•  </w:t>
      </w:r>
      <w:r>
        <w:rPr>
          <w:rFonts w:ascii="Calibri" w:hAnsi="Calibri" w:eastAsia="Noto Sans CJK SC"/>
        </w:rPr>
        <w:t>新分支与作者批准旧版隔离；任何新版本若改科学内容需独立author-approval record，私密批准记录不进公开库。</w:t>
      </w:r>
    </w:p>
    <w:p>
      <w:pPr>
        <w:pStyle w:val="Heading1"/>
      </w:pPr>
      <w:r>
        <w:t>23. 伦理、授权与风险提示</w:t>
      </w:r>
    </w:p>
    <w:p>
      <w:pPr>
        <w:spacing w:after="140"/>
        <w:ind w:firstLine="408"/>
        <w:jc w:val="both"/>
      </w:pPr>
      <w:r>
        <w:rPr>
          <w:rFonts w:ascii="Calibri" w:hAnsi="Calibri" w:eastAsia="Noto Sans CJK SC"/>
          <w:b w:val="0"/>
        </w:rPr>
        <w:t>公开仓库 state 记录两位作者已批准 R7B4B2，且存有 ethics_approval_required=false、no funding 和 no conflict 之声明。这是已发布状态文件承载的作者声明，而不是本轮研究计划书可以独立作出的机构法律判断。建议保存伦理审批/豁免在实际机构与目标期刊语境下适用的原文或责任人确认，不改变已获作者批准的现有事实记录。</w:t>
      </w:r>
    </w:p>
    <w:p>
      <w:pPr>
        <w:spacing w:after="140"/>
        <w:ind w:firstLine="408"/>
        <w:jc w:val="both"/>
      </w:pPr>
      <w:r>
        <w:rPr>
          <w:rFonts w:ascii="Calibri" w:hAnsi="Calibri" w:eastAsia="Noto Sans CJK SC"/>
          <w:b w:val="0"/>
        </w:rPr>
        <w:t>任何新的 PBC patient tissue data，包括开放 processed matrices 与可能受限制的原始HRA，均须遵守再分发/患者隐私/二次研究范围。病例级/spot级输出禁止进入公开库，除非来源许可明确允许；研究数据、代码、原创新图与第三方素材须分别使用各自许可，不把 MIT 或 CC BY 自动覆盖第三方受限文件。</w:t>
      </w:r>
    </w:p>
    <w:p>
      <w:pPr>
        <w:spacing w:after="140"/>
        <w:ind w:firstLine="408"/>
        <w:jc w:val="both"/>
      </w:pPr>
      <w:r>
        <w:rPr>
          <w:rFonts w:ascii="Calibri" w:hAnsi="Calibri" w:eastAsia="Noto Sans CJK SC"/>
          <w:b w:val="0"/>
        </w:rPr>
        <w:t>已公开 manuscript 可视为 preprint-like 公开传播，需要投稿系统按期刊政策披露；开放科研资产完成不意味着临床验证、编辑接收或 DOI 已注册。</w:t>
      </w:r>
    </w:p>
    <w:p>
      <w:pPr>
        <w:pStyle w:val="Heading1"/>
      </w:pPr>
      <w:r>
        <w:t>24. 下一阶段 R7C0：最小可执行目标与最终裁决</w:t>
      </w:r>
    </w:p>
    <w:p>
      <w:pPr>
        <w:pStyle w:val="Heading2"/>
      </w:pPr>
      <w:r>
        <w:t>24.1 推荐唯一新阶段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887"/>
      </w:tblGrid>
      <w:tr>
        <w:tc>
          <w:tcPr>
            <w:tcW w:type="dxa" w:w="9887"/>
            <w:shd w:fill="EEF3F7"/>
          </w:tcPr>
          <w:p>
            <w:pPr>
              <w:spacing w:after="80"/>
            </w:pPr>
            <w:r>
              <w:rPr>
                <w:rFonts w:ascii="Calibri" w:hAnsi="Calibri" w:eastAsia="Noto Sans CJK SC"/>
                <w:b/>
                <w:color w:val="234563"/>
                <w:sz w:val="20"/>
              </w:rPr>
              <w:t>R7C0 — SOURCE-IDENTITY / EXTERNAL-EVIDENCE / Q1-UPGRADE PREFLIGHT</w:t>
            </w:r>
          </w:p>
          <w:p>
            <w:pPr>
              <w:spacing w:after="40" w:line="286" w:lineRule="auto"/>
            </w:pPr>
            <w:r>
              <w:rPr>
                <w:rFonts w:ascii="Calibri" w:hAnsi="Calibri" w:eastAsia="Noto Sans CJK SC"/>
                <w:sz w:val="19"/>
              </w:rPr>
              <w:t>本阶段是“是否值得再投入”的证据门，不允许直接展开全 56 位点大计算。先验收 R7B4B2 release 和 current-paper reproducibility；并行进行 FinnGen 独立疾病源、OMIX processed空间数据和case/control统计约定的低成本可用性审计。</w:t>
            </w:r>
          </w:p>
        </w:tc>
      </w:tr>
    </w:tbl>
    <w:p>
      <w:pPr>
        <w:spacing w:after="0"/>
      </w:pPr>
    </w:p>
    <w:p>
      <w:pPr>
        <w:pStyle w:val="Heading2"/>
      </w:pPr>
      <w:r>
        <w:t>24.2 先后顺序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96"/>
        <w:gridCol w:w="3296"/>
        <w:gridCol w:w="3296"/>
      </w:tblGrid>
      <w:tr>
        <w:trPr>
          <w:tblHeader w:val="true"/>
          <w:cantSplit/>
        </w:trPr>
        <w:tc>
          <w:tcPr>
            <w:tcW w:type="dxa" w:w="3296"/>
            <w:shd w:fill="234563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Noto Sans CJK SC"/>
                <w:b/>
                <w:color w:val="FFFFFF"/>
                <w:sz w:val="18"/>
              </w:rPr>
              <w:t>序列</w:t>
            </w:r>
          </w:p>
        </w:tc>
        <w:tc>
          <w:tcPr>
            <w:tcW w:type="dxa" w:w="3296"/>
            <w:shd w:fill="234563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Noto Sans CJK SC"/>
                <w:b/>
                <w:color w:val="FFFFFF"/>
                <w:sz w:val="18"/>
              </w:rPr>
              <w:t>真实操作</w:t>
            </w:r>
          </w:p>
        </w:tc>
        <w:tc>
          <w:tcPr>
            <w:tcW w:type="dxa" w:w="3296"/>
            <w:shd w:fill="234563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Noto Sans CJK SC"/>
                <w:b/>
                <w:color w:val="FFFFFF"/>
                <w:sz w:val="18"/>
              </w:rPr>
              <w:t>下一步出口</w:t>
            </w:r>
          </w:p>
        </w:tc>
      </w:tr>
      <w:tr>
        <w:trPr>
          <w:cantSplit/>
        </w:trPr>
        <w:tc>
          <w:tcPr>
            <w:tcW w:type="dxa" w:w="3296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/>
                <w:sz w:val="17"/>
              </w:rPr>
              <w:t>1</w:t>
            </w:r>
          </w:p>
        </w:tc>
        <w:tc>
          <w:tcPr>
            <w:tcW w:type="dxa" w:w="3296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锁定R7B4B2科学/公开/私人release及RPv4哈希；检查DOI与institutional Q分区。</w:t>
            </w:r>
          </w:p>
        </w:tc>
        <w:tc>
          <w:tcPr>
            <w:tcW w:type="dxa" w:w="3296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STATUS FROZEN；旧稿保护。</w:t>
            </w:r>
          </w:p>
        </w:tc>
      </w:tr>
      <w:tr>
        <w:trPr>
          <w:cantSplit/>
        </w:trPr>
        <w:tc>
          <w:tcPr>
            <w:tcW w:type="dxa" w:w="3296"/>
            <w:vAlign w:val="center"/>
            <w:shd w:fill="F5F8FA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/>
                <w:sz w:val="17"/>
              </w:rPr>
              <w:t>2</w:t>
            </w:r>
          </w:p>
        </w:tc>
        <w:tc>
          <w:tcPr>
            <w:tcW w:type="dxa" w:w="3296"/>
            <w:vAlign w:val="center"/>
            <w:shd w:fill="F5F8FA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审查GJOKA N convention、ABF/SuSiE prior variance、当前样本量/LD等位基因约定。</w:t>
            </w:r>
          </w:p>
        </w:tc>
        <w:tc>
          <w:tcPr>
            <w:tcW w:type="dxa" w:w="3296"/>
            <w:vAlign w:val="center"/>
            <w:shd w:fill="F5F8FA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无问题则G1 PASS_NO_RERUN；有问题则sentinel targeted sensitivity。</w:t>
            </w:r>
          </w:p>
        </w:tc>
      </w:tr>
      <w:tr>
        <w:trPr>
          <w:cantSplit/>
        </w:trPr>
        <w:tc>
          <w:tcPr>
            <w:tcW w:type="dxa" w:w="3296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/>
                <w:sz w:val="17"/>
              </w:rPr>
              <w:t>3</w:t>
            </w:r>
          </w:p>
        </w:tc>
        <w:tc>
          <w:tcPr>
            <w:tcW w:type="dxa" w:w="3296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仅检索FinnGen PBC GWAS / multiome，可测性表先于新 posterior，审查独立性/细胞映射。</w:t>
            </w:r>
          </w:p>
        </w:tc>
        <w:tc>
          <w:tcPr>
            <w:tcW w:type="dxa" w:w="3296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G2 READY / HOLD / UNTESTABLE。</w:t>
            </w:r>
          </w:p>
        </w:tc>
      </w:tr>
      <w:tr>
        <w:trPr>
          <w:cantSplit/>
        </w:trPr>
        <w:tc>
          <w:tcPr>
            <w:tcW w:type="dxa" w:w="3296"/>
            <w:vAlign w:val="center"/>
            <w:shd w:fill="F5F8FA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/>
                <w:sz w:val="17"/>
              </w:rPr>
              <w:t>4</w:t>
            </w:r>
          </w:p>
        </w:tc>
        <w:tc>
          <w:tcPr>
            <w:tcW w:type="dxa" w:w="3296"/>
            <w:vAlign w:val="center"/>
            <w:shd w:fill="F5F8FA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OMIX001122先审病例/供者映射和空间处理文件，不下载受限原始数百GB。</w:t>
            </w:r>
          </w:p>
        </w:tc>
        <w:tc>
          <w:tcPr>
            <w:tcW w:type="dxa" w:w="3296"/>
            <w:vAlign w:val="center"/>
            <w:shd w:fill="F5F8FA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G3定位分析或STOP。</w:t>
            </w:r>
          </w:p>
        </w:tc>
      </w:tr>
      <w:tr>
        <w:trPr>
          <w:cantSplit/>
        </w:trPr>
        <w:tc>
          <w:tcPr>
            <w:tcW w:type="dxa" w:w="3296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/>
                <w:sz w:val="17"/>
              </w:rPr>
              <w:t>5</w:t>
            </w:r>
          </w:p>
        </w:tc>
        <w:tc>
          <w:tcPr>
            <w:tcW w:type="dxa" w:w="3296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按47位点补报告重分类分母的描述性不确定性；核验已有公共表可重建。</w:t>
            </w:r>
          </w:p>
        </w:tc>
        <w:tc>
          <w:tcPr>
            <w:tcW w:type="dxa" w:w="3296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G4 质量输出；不追求某方向率。</w:t>
            </w:r>
          </w:p>
        </w:tc>
      </w:tr>
      <w:tr>
        <w:trPr>
          <w:cantSplit/>
        </w:trPr>
        <w:tc>
          <w:tcPr>
            <w:tcW w:type="dxa" w:w="3296"/>
            <w:vAlign w:val="center"/>
            <w:shd w:fill="F5F8FA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/>
                <w:sz w:val="17"/>
              </w:rPr>
              <w:t>6</w:t>
            </w:r>
          </w:p>
        </w:tc>
        <w:tc>
          <w:tcPr>
            <w:tcW w:type="dxa" w:w="3296"/>
            <w:vAlign w:val="center"/>
            <w:shd w:fill="F5F8FA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汇总Q1增益 vs 资源成本与可信证据；决定B2继续或A轨投稿关闭。</w:t>
            </w:r>
          </w:p>
        </w:tc>
        <w:tc>
          <w:tcPr>
            <w:tcW w:type="dxa" w:w="3296"/>
            <w:vAlign w:val="center"/>
            <w:shd w:fill="F5F8FA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GO_Q1_PILOT / GO_Q2 / HOLD_DATA。</w:t>
            </w:r>
          </w:p>
        </w:tc>
      </w:tr>
    </w:tbl>
    <w:p>
      <w:pPr>
        <w:spacing w:after="0"/>
      </w:pPr>
    </w:p>
    <w:p>
      <w:pPr>
        <w:pStyle w:val="Heading2"/>
      </w:pPr>
      <w:r>
        <w:t>24.3 任何结果都不自动触发再选病种</w:t>
      </w:r>
    </w:p>
    <w:p>
      <w:pPr>
        <w:spacing w:after="140"/>
        <w:ind w:firstLine="408"/>
        <w:jc w:val="both"/>
      </w:pPr>
      <w:r>
        <w:rPr>
          <w:rFonts w:ascii="Calibri" w:hAnsi="Calibri" w:eastAsia="Noto Sans CJK SC"/>
          <w:b w:val="0"/>
        </w:rPr>
        <w:t>若 G2/G3 不能获得独立增量、G1 没有实质问题、Q1选择感知模拟不能定义清晰新 estimand，则停止扩展并推进当前科学候选稿的Q2合规投稿。只有证据本身被可复现的致命来源问题摧毁，或再分析后论文已无独立知识增量，才开启独立的新课题 portfolio。</w:t>
      </w:r>
    </w:p>
    <w:p>
      <w:pPr>
        <w:pStyle w:val="Heading1"/>
      </w:pPr>
      <w:r>
        <w:t>附录 A｜关键数值与“正确分母”索引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96"/>
        <w:gridCol w:w="3296"/>
        <w:gridCol w:w="3296"/>
      </w:tblGrid>
      <w:tr>
        <w:trPr>
          <w:tblHeader w:val="true"/>
          <w:cantSplit/>
        </w:trPr>
        <w:tc>
          <w:tcPr>
            <w:tcW w:type="dxa" w:w="3296"/>
            <w:shd w:fill="234563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Noto Sans CJK SC"/>
                <w:b/>
                <w:color w:val="FFFFFF"/>
                <w:sz w:val="18"/>
              </w:rPr>
              <w:t>结果量</w:t>
            </w:r>
          </w:p>
        </w:tc>
        <w:tc>
          <w:tcPr>
            <w:tcW w:type="dxa" w:w="3296"/>
            <w:shd w:fill="234563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Noto Sans CJK SC"/>
                <w:b/>
                <w:color w:val="FFFFFF"/>
                <w:sz w:val="18"/>
              </w:rPr>
              <w:t>已完成版本</w:t>
            </w:r>
          </w:p>
        </w:tc>
        <w:tc>
          <w:tcPr>
            <w:tcW w:type="dxa" w:w="3296"/>
            <w:shd w:fill="234563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Noto Sans CJK SC"/>
                <w:b/>
                <w:color w:val="FFFFFF"/>
                <w:sz w:val="18"/>
              </w:rPr>
              <w:t>读者必须避免的错误</w:t>
            </w:r>
          </w:p>
        </w:tc>
      </w:tr>
      <w:tr>
        <w:trPr>
          <w:cantSplit/>
        </w:trPr>
        <w:tc>
          <w:tcPr>
            <w:tcW w:type="dxa" w:w="3296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/>
                <w:sz w:val="17"/>
              </w:rPr>
              <w:t>642</w:t>
            </w:r>
          </w:p>
        </w:tc>
        <w:tc>
          <w:tcPr>
            <w:tcW w:type="dxa" w:w="3296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184+455+3；从高信息门进入。</w:t>
            </w:r>
          </w:p>
        </w:tc>
        <w:tc>
          <w:tcPr>
            <w:tcW w:type="dxa" w:w="3296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不能称全部PBC loci完成多信号。</w:t>
            </w:r>
          </w:p>
        </w:tc>
      </w:tr>
      <w:tr>
        <w:trPr>
          <w:cantSplit/>
        </w:trPr>
        <w:tc>
          <w:tcPr>
            <w:tcW w:type="dxa" w:w="3296"/>
            <w:vAlign w:val="center"/>
            <w:shd w:fill="F5F8FA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/>
                <w:sz w:val="17"/>
              </w:rPr>
              <w:t>92 H4 / 428 H3</w:t>
            </w:r>
          </w:p>
        </w:tc>
        <w:tc>
          <w:tcPr>
            <w:tcW w:type="dxa" w:w="3296"/>
            <w:vAlign w:val="center"/>
            <w:shd w:fill="F5F8FA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PF10 comparison states；另外59敏感、63不信息。</w:t>
            </w:r>
          </w:p>
        </w:tc>
        <w:tc>
          <w:tcPr>
            <w:tcW w:type="dxa" w:w="3296"/>
            <w:vAlign w:val="center"/>
            <w:shd w:fill="F5F8FA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不能称92 causal genes或全区域不存在共享。</w:t>
            </w:r>
          </w:p>
        </w:tc>
      </w:tr>
      <w:tr>
        <w:trPr>
          <w:cantSplit/>
        </w:trPr>
        <w:tc>
          <w:tcPr>
            <w:tcW w:type="dxa" w:w="3296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/>
                <w:sz w:val="17"/>
              </w:rPr>
              <w:t>32 mixed</w:t>
            </w:r>
          </w:p>
        </w:tc>
        <w:tc>
          <w:tcPr>
            <w:tcW w:type="dxa" w:w="3296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32个H4比较含qualifying H3 pair。</w:t>
            </w:r>
          </w:p>
        </w:tc>
        <w:tc>
          <w:tcPr>
            <w:tcW w:type="dxa" w:w="3296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不能称一个comparison只有一个因果信号。</w:t>
            </w:r>
          </w:p>
        </w:tc>
      </w:tr>
      <w:tr>
        <w:trPr>
          <w:cantSplit/>
        </w:trPr>
        <w:tc>
          <w:tcPr>
            <w:tcW w:type="dxa" w:w="3296"/>
            <w:vAlign w:val="center"/>
            <w:shd w:fill="F5F8FA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/>
                <w:sz w:val="17"/>
              </w:rPr>
              <w:t>112/455</w:t>
            </w:r>
          </w:p>
        </w:tc>
        <w:tc>
          <w:tcPr>
            <w:tcW w:type="dxa" w:w="3296"/>
            <w:vAlign w:val="center"/>
            <w:shd w:fill="F5F8FA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原始 ABF 分类分母。</w:t>
            </w:r>
          </w:p>
        </w:tc>
        <w:tc>
          <w:tcPr>
            <w:tcW w:type="dxa" w:w="3296"/>
            <w:vAlign w:val="center"/>
            <w:shd w:fill="F5F8FA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不要与A2 113/452互换。</w:t>
            </w:r>
          </w:p>
        </w:tc>
      </w:tr>
      <w:tr>
        <w:trPr>
          <w:cantSplit/>
        </w:trPr>
        <w:tc>
          <w:tcPr>
            <w:tcW w:type="dxa" w:w="3296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/>
                <w:sz w:val="17"/>
              </w:rPr>
              <w:t>A2 79/113、8/113</w:t>
            </w:r>
          </w:p>
        </w:tc>
        <w:tc>
          <w:tcPr>
            <w:tcW w:type="dxa" w:w="3296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支持匹配后ABF H4的保留/不同pair。</w:t>
            </w:r>
          </w:p>
        </w:tc>
        <w:tc>
          <w:tcPr>
            <w:tcW w:type="dxa" w:w="3296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不能称“方法纠正错误数”。</w:t>
            </w:r>
          </w:p>
        </w:tc>
      </w:tr>
      <w:tr>
        <w:trPr>
          <w:cantSplit/>
        </w:trPr>
        <w:tc>
          <w:tcPr>
            <w:tcW w:type="dxa" w:w="3296"/>
            <w:vAlign w:val="center"/>
            <w:shd w:fill="F5F8FA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/>
                <w:sz w:val="17"/>
              </w:rPr>
              <w:t>A2 10/452</w:t>
            </w:r>
          </w:p>
        </w:tc>
        <w:tc>
          <w:tcPr>
            <w:tcW w:type="dxa" w:w="3296"/>
            <w:vAlign w:val="center"/>
            <w:shd w:fill="F5F8FA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A2 H3改变为M H4的比较。</w:t>
            </w:r>
          </w:p>
        </w:tc>
        <w:tc>
          <w:tcPr>
            <w:tcW w:type="dxa" w:w="3296"/>
            <w:vAlign w:val="center"/>
            <w:shd w:fill="F5F8FA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不能称10个真实共定位事件。</w:t>
            </w:r>
          </w:p>
        </w:tc>
      </w:tr>
      <w:tr>
        <w:trPr>
          <w:cantSplit/>
        </w:trPr>
        <w:tc>
          <w:tcPr>
            <w:tcW w:type="dxa" w:w="3296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/>
                <w:sz w:val="17"/>
              </w:rPr>
              <w:t>160782/486000</w:t>
            </w:r>
          </w:p>
        </w:tc>
        <w:tc>
          <w:tcPr>
            <w:tcW w:type="dxa" w:w="3296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matched simulation pair evaluable 33.08%。</w:t>
            </w:r>
          </w:p>
        </w:tc>
        <w:tc>
          <w:tcPr>
            <w:tcW w:type="dxa" w:w="3296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不能只报条件pair预测而忽视发现功效。</w:t>
            </w:r>
          </w:p>
        </w:tc>
      </w:tr>
      <w:tr>
        <w:trPr>
          <w:cantSplit/>
        </w:trPr>
        <w:tc>
          <w:tcPr>
            <w:tcW w:type="dxa" w:w="3296"/>
            <w:vAlign w:val="center"/>
            <w:shd w:fill="F5F8FA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/>
                <w:sz w:val="17"/>
              </w:rPr>
              <w:t>47-locus bootstrap</w:t>
            </w:r>
          </w:p>
        </w:tc>
        <w:tc>
          <w:tcPr>
            <w:tcW w:type="dxa" w:w="3296"/>
            <w:vAlign w:val="center"/>
            <w:shd w:fill="F5F8FA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H4 14.33%，分位7.43%–21.24%。</w:t>
            </w:r>
          </w:p>
        </w:tc>
        <w:tc>
          <w:tcPr>
            <w:tcW w:type="dxa" w:w="3296"/>
            <w:vAlign w:val="center"/>
            <w:shd w:fill="F5F8FA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探索性位点构成敏感度，不是病例抽样CI。</w:t>
            </w:r>
          </w:p>
        </w:tc>
      </w:tr>
      <w:tr>
        <w:trPr>
          <w:cantSplit/>
        </w:trPr>
        <w:tc>
          <w:tcPr>
            <w:tcW w:type="dxa" w:w="3296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/>
                <w:sz w:val="17"/>
              </w:rPr>
              <w:t>FinnGen3层</w:t>
            </w:r>
          </w:p>
        </w:tc>
        <w:tc>
          <w:tcPr>
            <w:tcW w:type="dxa" w:w="3296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l1.NK / l2.NK / PBMC，同一R12资源。</w:t>
            </w:r>
          </w:p>
        </w:tc>
        <w:tc>
          <w:tcPr>
            <w:tcW w:type="dxa" w:w="3296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不能算3个独立疾病队列。</w:t>
            </w:r>
          </w:p>
        </w:tc>
      </w:tr>
      <w:tr>
        <w:trPr>
          <w:cantSplit/>
        </w:trPr>
        <w:tc>
          <w:tcPr>
            <w:tcW w:type="dxa" w:w="3296"/>
            <w:vAlign w:val="center"/>
            <w:shd w:fill="F5F8FA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/>
                <w:sz w:val="17"/>
              </w:rPr>
              <w:t>HRA5v5</w:t>
            </w:r>
          </w:p>
        </w:tc>
        <w:tc>
          <w:tcPr>
            <w:tcW w:type="dxa" w:w="3296"/>
            <w:vAlign w:val="center"/>
            <w:shd w:fill="F5F8FA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两个靶标q≈0.111；10供者可检测。</w:t>
            </w:r>
          </w:p>
        </w:tc>
        <w:tc>
          <w:tcPr>
            <w:tcW w:type="dxa" w:w="3296"/>
            <w:vAlign w:val="center"/>
            <w:shd w:fill="F5F8FA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不等于无效应，也不是组织遗传介导。</w:t>
            </w:r>
          </w:p>
        </w:tc>
      </w:tr>
    </w:tbl>
    <w:p>
      <w:pPr>
        <w:spacing w:after="0"/>
      </w:pPr>
    </w:p>
    <w:p>
      <w:pPr>
        <w:pStyle w:val="Heading1"/>
      </w:pPr>
      <w:r>
        <w:t>附录 B｜RP v3 → RP v4 的真实变更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96"/>
        <w:gridCol w:w="3296"/>
        <w:gridCol w:w="3296"/>
      </w:tblGrid>
      <w:tr>
        <w:trPr>
          <w:tblHeader w:val="true"/>
          <w:cantSplit/>
        </w:trPr>
        <w:tc>
          <w:tcPr>
            <w:tcW w:type="dxa" w:w="3296"/>
            <w:shd w:fill="234563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Noto Sans CJK SC"/>
                <w:b/>
                <w:color w:val="FFFFFF"/>
                <w:sz w:val="18"/>
              </w:rPr>
              <w:t>主题</w:t>
            </w:r>
          </w:p>
        </w:tc>
        <w:tc>
          <w:tcPr>
            <w:tcW w:type="dxa" w:w="3296"/>
            <w:shd w:fill="234563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Noto Sans CJK SC"/>
                <w:b/>
                <w:color w:val="FFFFFF"/>
                <w:sz w:val="18"/>
              </w:rPr>
              <w:t>RP v3（2026-10-09 形成）</w:t>
            </w:r>
          </w:p>
        </w:tc>
        <w:tc>
          <w:tcPr>
            <w:tcW w:type="dxa" w:w="3296"/>
            <w:shd w:fill="234563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Noto Sans CJK SC"/>
                <w:b/>
                <w:color w:val="FFFFFF"/>
                <w:sz w:val="18"/>
              </w:rPr>
              <w:t>RP v4（2026-10-11）</w:t>
            </w:r>
          </w:p>
        </w:tc>
      </w:tr>
      <w:tr>
        <w:trPr>
          <w:cantSplit/>
        </w:trPr>
        <w:tc>
          <w:tcPr>
            <w:tcW w:type="dxa" w:w="3296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/>
                <w:sz w:val="17"/>
              </w:rPr>
              <w:t>研究进度</w:t>
            </w:r>
          </w:p>
        </w:tc>
        <w:tc>
          <w:tcPr>
            <w:tcW w:type="dxa" w:w="3296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R7B2A和英文稿/出版图为待执行。</w:t>
            </w:r>
          </w:p>
        </w:tc>
        <w:tc>
          <w:tcPr>
            <w:tcW w:type="dxa" w:w="3296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R7B2A/R7B2/R7B3A/R7B4B2已按仓库记录完成；待提交与DOI。</w:t>
            </w:r>
          </w:p>
        </w:tc>
      </w:tr>
      <w:tr>
        <w:trPr>
          <w:cantSplit/>
        </w:trPr>
        <w:tc>
          <w:tcPr>
            <w:tcW w:type="dxa" w:w="3296"/>
            <w:vAlign w:val="center"/>
            <w:shd w:fill="F5F8FA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/>
                <w:sz w:val="17"/>
              </w:rPr>
              <w:t>作者和许可</w:t>
            </w:r>
          </w:p>
        </w:tc>
        <w:tc>
          <w:tcPr>
            <w:tcW w:type="dxa" w:w="3296"/>
            <w:vAlign w:val="center"/>
            <w:shd w:fill="F5F8FA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真实作者信息待确认。</w:t>
            </w:r>
          </w:p>
        </w:tc>
        <w:tc>
          <w:tcPr>
            <w:tcW w:type="dxa" w:w="3296"/>
            <w:vAlign w:val="center"/>
            <w:shd w:fill="F5F8FA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公开state记录两位作者已批准，MIT/CC BY分层；仍需核验具体机构分区与投稿。</w:t>
            </w:r>
          </w:p>
        </w:tc>
      </w:tr>
      <w:tr>
        <w:trPr>
          <w:cantSplit/>
        </w:trPr>
        <w:tc>
          <w:tcPr>
            <w:tcW w:type="dxa" w:w="3296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/>
                <w:sz w:val="17"/>
              </w:rPr>
              <w:t>重点缺口</w:t>
            </w:r>
          </w:p>
        </w:tc>
        <w:tc>
          <w:tcPr>
            <w:tcW w:type="dxa" w:w="3296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同输入四臂、模拟错误通道待补。</w:t>
            </w:r>
          </w:p>
        </w:tc>
        <w:tc>
          <w:tcPr>
            <w:tcW w:type="dxa" w:w="3296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四臂与匹配分支迭代审计已完成；新增n_eff/prior/独立疾病支持的有限预检。</w:t>
            </w:r>
          </w:p>
        </w:tc>
      </w:tr>
      <w:tr>
        <w:trPr>
          <w:cantSplit/>
        </w:trPr>
        <w:tc>
          <w:tcPr>
            <w:tcW w:type="dxa" w:w="3296"/>
            <w:vAlign w:val="center"/>
            <w:shd w:fill="F5F8FA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/>
                <w:sz w:val="17"/>
              </w:rPr>
              <w:t>稳定性</w:t>
            </w:r>
          </w:p>
        </w:tc>
        <w:tc>
          <w:tcPr>
            <w:tcW w:type="dxa" w:w="3296"/>
            <w:vAlign w:val="center"/>
            <w:shd w:fill="F5F8FA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主要报告642比较百分比。</w:t>
            </w:r>
          </w:p>
        </w:tc>
        <w:tc>
          <w:tcPr>
            <w:tcW w:type="dxa" w:w="3296"/>
            <w:vAlign w:val="center"/>
            <w:shd w:fill="F5F8FA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新增47风险位点整体重抽样，明示位点依赖与条件估计边界。</w:t>
            </w:r>
          </w:p>
        </w:tc>
      </w:tr>
      <w:tr>
        <w:trPr>
          <w:cantSplit/>
        </w:trPr>
        <w:tc>
          <w:tcPr>
            <w:tcW w:type="dxa" w:w="3296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/>
                <w:sz w:val="17"/>
              </w:rPr>
              <w:t>器官层</w:t>
            </w:r>
          </w:p>
        </w:tc>
        <w:tc>
          <w:tcPr>
            <w:tcW w:type="dxa" w:w="3296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仅有HRA 5v5；不重下BAM。</w:t>
            </w:r>
          </w:p>
        </w:tc>
        <w:tc>
          <w:tcPr>
            <w:tcW w:type="dxa" w:w="3296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新增独立OMIX processed spatial候选；先样本映射，不能提前写阳性。</w:t>
            </w:r>
          </w:p>
        </w:tc>
      </w:tr>
      <w:tr>
        <w:trPr>
          <w:cantSplit/>
        </w:trPr>
        <w:tc>
          <w:tcPr>
            <w:tcW w:type="dxa" w:w="3296"/>
            <w:vAlign w:val="center"/>
            <w:shd w:fill="F5F8FA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/>
                <w:sz w:val="17"/>
              </w:rPr>
              <w:t>方法学主张</w:t>
            </w:r>
          </w:p>
        </w:tc>
        <w:tc>
          <w:tcPr>
            <w:tcW w:type="dxa" w:w="3296"/>
            <w:vAlign w:val="center"/>
            <w:shd w:fill="F5F8FA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已有情境模拟不是普适优越。</w:t>
            </w:r>
          </w:p>
        </w:tc>
        <w:tc>
          <w:tcPr>
            <w:tcW w:type="dxa" w:w="3296"/>
            <w:vAlign w:val="center"/>
            <w:shd w:fill="F5F8FA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保持原范围；一区目标才考虑端到端选择感知模拟且需要严格硬门。</w:t>
            </w:r>
          </w:p>
        </w:tc>
      </w:tr>
      <w:tr>
        <w:trPr>
          <w:cantSplit/>
        </w:trPr>
        <w:tc>
          <w:tcPr>
            <w:tcW w:type="dxa" w:w="3296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/>
                <w:sz w:val="17"/>
              </w:rPr>
              <w:t>策略</w:t>
            </w:r>
          </w:p>
        </w:tc>
        <w:tc>
          <w:tcPr>
            <w:tcW w:type="dxa" w:w="3296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SCI二区未指定；继续写完整英文稿。</w:t>
            </w:r>
          </w:p>
        </w:tc>
        <w:tc>
          <w:tcPr>
            <w:tcW w:type="dxa" w:w="3296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保护Human Genomics候选，建立现有Q2关闭＋有门控Q1增强双轨。</w:t>
            </w:r>
          </w:p>
        </w:tc>
      </w:tr>
    </w:tbl>
    <w:p>
      <w:pPr>
        <w:spacing w:after="0"/>
      </w:pPr>
    </w:p>
    <w:p>
      <w:pPr>
        <w:pStyle w:val="Heading1"/>
      </w:pPr>
      <w:r>
        <w:t>附录 C｜来源证据与外部资源清单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96"/>
        <w:gridCol w:w="3296"/>
        <w:gridCol w:w="3296"/>
      </w:tblGrid>
      <w:tr>
        <w:trPr>
          <w:tblHeader w:val="true"/>
          <w:cantSplit/>
        </w:trPr>
        <w:tc>
          <w:tcPr>
            <w:tcW w:type="dxa" w:w="3296"/>
            <w:shd w:fill="234563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Noto Sans CJK SC"/>
                <w:b/>
                <w:color w:val="FFFFFF"/>
                <w:sz w:val="18"/>
              </w:rPr>
              <w:t>来源</w:t>
            </w:r>
          </w:p>
        </w:tc>
        <w:tc>
          <w:tcPr>
            <w:tcW w:type="dxa" w:w="3296"/>
            <w:shd w:fill="234563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Noto Sans CJK SC"/>
                <w:b/>
                <w:color w:val="FFFFFF"/>
                <w:sz w:val="18"/>
              </w:rPr>
              <w:t>核验对象／URL</w:t>
            </w:r>
          </w:p>
        </w:tc>
        <w:tc>
          <w:tcPr>
            <w:tcW w:type="dxa" w:w="3296"/>
            <w:shd w:fill="234563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Noto Sans CJK SC"/>
                <w:b/>
                <w:color w:val="FFFFFF"/>
                <w:sz w:val="18"/>
              </w:rPr>
              <w:t>角色</w:t>
            </w:r>
          </w:p>
        </w:tc>
      </w:tr>
      <w:tr>
        <w:trPr>
          <w:cantSplit/>
        </w:trPr>
        <w:tc>
          <w:tcPr>
            <w:tcW w:type="dxa" w:w="3296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/>
                <w:sz w:val="16"/>
              </w:rPr>
              <w:t>项目最新版 GitHub</w:t>
            </w:r>
          </w:p>
        </w:tc>
        <w:tc>
          <w:tcPr>
            <w:tcW w:type="dxa" w:w="3296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6"/>
              </w:rPr>
              <w:t>https://github.com/1209433622cz-maker/igan-open-regulatory-evidence/tree/db20068e700b9c1ded8fb9171dab7e8da6aa33b7</w:t>
            </w:r>
          </w:p>
        </w:tc>
        <w:tc>
          <w:tcPr>
            <w:tcW w:type="dxa" w:w="3296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6"/>
              </w:rPr>
              <w:t>R7B4B2 state、manuscript、release回执；仓库记录不是独立论文审稿。</w:t>
            </w:r>
          </w:p>
        </w:tc>
      </w:tr>
      <w:tr>
        <w:trPr>
          <w:cantSplit/>
        </w:trPr>
        <w:tc>
          <w:tcPr>
            <w:tcW w:type="dxa" w:w="3296"/>
            <w:vAlign w:val="center"/>
            <w:shd w:fill="F5F8FA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/>
                <w:sz w:val="16"/>
              </w:rPr>
              <w:t>GitHub release</w:t>
            </w:r>
          </w:p>
        </w:tc>
        <w:tc>
          <w:tcPr>
            <w:tcW w:type="dxa" w:w="3296"/>
            <w:vAlign w:val="center"/>
            <w:shd w:fill="F5F8FA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6"/>
              </w:rPr>
              <w:t>https://github.com/1209433622cz-maker/igan-open-regulatory-evidence/releases/tag/r7b4b2-author-approved-open-research-release-2026-10-10</w:t>
            </w:r>
          </w:p>
        </w:tc>
        <w:tc>
          <w:tcPr>
            <w:tcW w:type="dxa" w:w="3296"/>
            <w:vAlign w:val="center"/>
            <w:shd w:fill="F5F8FA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6"/>
              </w:rPr>
              <w:t>正式公开 archive，private submission不在公开分发中。</w:t>
            </w:r>
          </w:p>
        </w:tc>
      </w:tr>
      <w:tr>
        <w:trPr>
          <w:cantSplit/>
        </w:trPr>
        <w:tc>
          <w:tcPr>
            <w:tcW w:type="dxa" w:w="3296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/>
                <w:sz w:val="16"/>
              </w:rPr>
              <w:t>RP v3 / YR1(6)</w:t>
            </w:r>
          </w:p>
        </w:tc>
        <w:tc>
          <w:tcPr>
            <w:tcW w:type="dxa" w:w="3296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6"/>
              </w:rPr>
              <w:t>用户上传RPv3 DOCX、YR1(6).zip</w:t>
            </w:r>
          </w:p>
        </w:tc>
        <w:tc>
          <w:tcPr>
            <w:tcW w:type="dxa" w:w="3296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6"/>
              </w:rPr>
              <w:t>v3历史决策框架、R7B1B/E独立数值再算。</w:t>
            </w:r>
          </w:p>
        </w:tc>
      </w:tr>
      <w:tr>
        <w:trPr>
          <w:cantSplit/>
        </w:trPr>
        <w:tc>
          <w:tcPr>
            <w:tcW w:type="dxa" w:w="3296"/>
            <w:vAlign w:val="center"/>
            <w:shd w:fill="F5F8FA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/>
                <w:sz w:val="16"/>
              </w:rPr>
              <w:t>Cordell GWMA 2021</w:t>
            </w:r>
          </w:p>
        </w:tc>
        <w:tc>
          <w:tcPr>
            <w:tcW w:type="dxa" w:w="3296"/>
            <w:vAlign w:val="center"/>
            <w:shd w:fill="F5F8FA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6"/>
              </w:rPr>
              <w:t>https://doi.org/10.1016/j.jhep.2021.04.055</w:t>
            </w:r>
          </w:p>
        </w:tc>
        <w:tc>
          <w:tcPr>
            <w:tcW w:type="dxa" w:w="3296"/>
            <w:vAlign w:val="center"/>
            <w:shd w:fill="F5F8FA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6"/>
              </w:rPr>
              <w:t>PBC发现队列与原已知基因位置。</w:t>
            </w:r>
          </w:p>
        </w:tc>
      </w:tr>
      <w:tr>
        <w:trPr>
          <w:cantSplit/>
        </w:trPr>
        <w:tc>
          <w:tcPr>
            <w:tcW w:type="dxa" w:w="3296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/>
                <w:sz w:val="16"/>
              </w:rPr>
              <w:t>Zou SuSiE-RSS 2022</w:t>
            </w:r>
          </w:p>
        </w:tc>
        <w:tc>
          <w:tcPr>
            <w:tcW w:type="dxa" w:w="3296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6"/>
              </w:rPr>
              <w:t>https://doi.org/10.1371/journal.pgen.1010299</w:t>
            </w:r>
          </w:p>
        </w:tc>
        <w:tc>
          <w:tcPr>
            <w:tcW w:type="dxa" w:w="3296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6"/>
              </w:rPr>
              <w:t>RSS z/LD/n及model假设的方法依据。</w:t>
            </w:r>
          </w:p>
        </w:tc>
      </w:tr>
      <w:tr>
        <w:trPr>
          <w:cantSplit/>
        </w:trPr>
        <w:tc>
          <w:tcPr>
            <w:tcW w:type="dxa" w:w="3296"/>
            <w:vAlign w:val="center"/>
            <w:shd w:fill="F5F8FA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/>
                <w:sz w:val="16"/>
              </w:rPr>
              <w:t>Wallace coloc 2021</w:t>
            </w:r>
          </w:p>
        </w:tc>
        <w:tc>
          <w:tcPr>
            <w:tcW w:type="dxa" w:w="3296"/>
            <w:vAlign w:val="center"/>
            <w:shd w:fill="F5F8FA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6"/>
              </w:rPr>
              <w:t>https://doi.org/10.1371/journal.pgen.1009440</w:t>
            </w:r>
          </w:p>
        </w:tc>
        <w:tc>
          <w:tcPr>
            <w:tcW w:type="dxa" w:w="3296"/>
            <w:vAlign w:val="center"/>
            <w:shd w:fill="F5F8FA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6"/>
              </w:rPr>
              <w:t>多信号共定位的方法所有权。</w:t>
            </w:r>
          </w:p>
        </w:tc>
      </w:tr>
      <w:tr>
        <w:trPr>
          <w:cantSplit/>
        </w:trPr>
        <w:tc>
          <w:tcPr>
            <w:tcW w:type="dxa" w:w="3296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/>
                <w:sz w:val="16"/>
              </w:rPr>
              <w:t>Xue OneK 2026</w:t>
            </w:r>
          </w:p>
        </w:tc>
        <w:tc>
          <w:tcPr>
            <w:tcW w:type="dxa" w:w="3296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6"/>
              </w:rPr>
              <w:t>https://doi.org/10.1038/s41467-026-77453-9；Zenodo 18910121</w:t>
            </w:r>
          </w:p>
        </w:tc>
        <w:tc>
          <w:tcPr>
            <w:tcW w:type="dxa" w:w="3296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6"/>
              </w:rPr>
              <w:t>本项目 current-release PF10/PF50来源。</w:t>
            </w:r>
          </w:p>
        </w:tc>
      </w:tr>
      <w:tr>
        <w:trPr>
          <w:cantSplit/>
        </w:trPr>
        <w:tc>
          <w:tcPr>
            <w:tcW w:type="dxa" w:w="3296"/>
            <w:vAlign w:val="center"/>
            <w:shd w:fill="F5F8FA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/>
                <w:sz w:val="16"/>
              </w:rPr>
              <w:t>Kanai multiome 2026</w:t>
            </w:r>
          </w:p>
        </w:tc>
        <w:tc>
          <w:tcPr>
            <w:tcW w:type="dxa" w:w="3296"/>
            <w:vAlign w:val="center"/>
            <w:shd w:fill="F5F8FA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6"/>
              </w:rPr>
              <w:t>https://doi.org/10.1038/s41586-026-11078-2；https://cascade.finngen.fi/</w:t>
            </w:r>
          </w:p>
        </w:tc>
        <w:tc>
          <w:tcPr>
            <w:tcW w:type="dxa" w:w="3296"/>
            <w:vAlign w:val="center"/>
            <w:shd w:fill="F5F8FA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6"/>
              </w:rPr>
              <w:t>FinnGen eQTL/caQTL/CS/peak-gene第三外部层。</w:t>
            </w:r>
          </w:p>
        </w:tc>
      </w:tr>
      <w:tr>
        <w:trPr>
          <w:cantSplit/>
        </w:trPr>
        <w:tc>
          <w:tcPr>
            <w:tcW w:type="dxa" w:w="3296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/>
                <w:sz w:val="16"/>
              </w:rPr>
              <w:t>OMIX001122</w:t>
            </w:r>
          </w:p>
        </w:tc>
        <w:tc>
          <w:tcPr>
            <w:tcW w:type="dxa" w:w="3296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6"/>
              </w:rPr>
              <w:t>https://ngdc.cncb.ac.cn/omix/release/OMIX001122</w:t>
            </w:r>
          </w:p>
        </w:tc>
        <w:tc>
          <w:tcPr>
            <w:tcW w:type="dxa" w:w="3296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6"/>
              </w:rPr>
              <w:t>PBC spatial/scRNA 处理文件开放候选，独立性待QC。</w:t>
            </w:r>
          </w:p>
        </w:tc>
      </w:tr>
      <w:tr>
        <w:trPr>
          <w:cantSplit/>
        </w:trPr>
        <w:tc>
          <w:tcPr>
            <w:tcW w:type="dxa" w:w="3296"/>
            <w:vAlign w:val="center"/>
            <w:shd w:fill="F5F8FA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/>
                <w:sz w:val="16"/>
              </w:rPr>
              <w:t>PBC bile duct atlas 2023</w:t>
            </w:r>
          </w:p>
        </w:tc>
        <w:tc>
          <w:tcPr>
            <w:tcW w:type="dxa" w:w="3296"/>
            <w:vAlign w:val="center"/>
            <w:shd w:fill="F5F8FA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6"/>
              </w:rPr>
              <w:t>https://doi.org/10.1038/s41467-022-34606-w</w:t>
            </w:r>
          </w:p>
        </w:tc>
        <w:tc>
          <w:tcPr>
            <w:tcW w:type="dxa" w:w="3296"/>
            <w:vAlign w:val="center"/>
            <w:shd w:fill="F5F8FA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6"/>
              </w:rPr>
              <w:t>OMIX来源文章；其结果不能写成新发现。</w:t>
            </w:r>
          </w:p>
        </w:tc>
      </w:tr>
      <w:tr>
        <w:trPr>
          <w:cantSplit/>
        </w:trPr>
        <w:tc>
          <w:tcPr>
            <w:tcW w:type="dxa" w:w="3296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/>
                <w:sz w:val="16"/>
              </w:rPr>
              <w:t>GSE280852</w:t>
            </w:r>
          </w:p>
        </w:tc>
        <w:tc>
          <w:tcPr>
            <w:tcW w:type="dxa" w:w="3296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6"/>
              </w:rPr>
              <w:t>https://www.ncbi.nlm.nih.gov/geo/query/acc.cgi?acc=GSE280852</w:t>
            </w:r>
          </w:p>
        </w:tc>
        <w:tc>
          <w:tcPr>
            <w:tcW w:type="dxa" w:w="3296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6"/>
              </w:rPr>
              <w:t>人肝对照/伪正常；不可自动作为PBC病例对照。</w:t>
            </w:r>
          </w:p>
        </w:tc>
      </w:tr>
      <w:tr>
        <w:trPr>
          <w:cantSplit/>
        </w:trPr>
        <w:tc>
          <w:tcPr>
            <w:tcW w:type="dxa" w:w="3296"/>
            <w:vAlign w:val="center"/>
            <w:shd w:fill="F5F8FA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/>
                <w:sz w:val="16"/>
              </w:rPr>
              <w:t>Springer preprints policy</w:t>
            </w:r>
          </w:p>
        </w:tc>
        <w:tc>
          <w:tcPr>
            <w:tcW w:type="dxa" w:w="3296"/>
            <w:vAlign w:val="center"/>
            <w:shd w:fill="F5F8FA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6"/>
              </w:rPr>
              <w:t>https://support.springernature.com/en/support/solutions/articles/6000258807-preprints</w:t>
            </w:r>
          </w:p>
        </w:tc>
        <w:tc>
          <w:tcPr>
            <w:tcW w:type="dxa" w:w="3296"/>
            <w:vAlign w:val="center"/>
            <w:shd w:fill="F5F8FA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6"/>
              </w:rPr>
              <w:t>公共在线稿件/预印本可发表性提示；逐刊复核。</w:t>
            </w:r>
          </w:p>
        </w:tc>
      </w:tr>
    </w:tbl>
    <w:p>
      <w:pPr>
        <w:spacing w:after="0"/>
      </w:pPr>
    </w:p>
    <w:p>
      <w:pPr>
        <w:pStyle w:val="Heading1"/>
      </w:pPr>
      <w:r>
        <w:t>附录 D｜可审查的下一轮输入与交付清单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96"/>
        <w:gridCol w:w="3296"/>
        <w:gridCol w:w="3296"/>
      </w:tblGrid>
      <w:tr>
        <w:trPr>
          <w:tblHeader w:val="true"/>
          <w:cantSplit/>
        </w:trPr>
        <w:tc>
          <w:tcPr>
            <w:tcW w:type="dxa" w:w="3296"/>
            <w:shd w:fill="234563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Noto Sans CJK SC"/>
                <w:b/>
                <w:color w:val="FFFFFF"/>
                <w:sz w:val="18"/>
              </w:rPr>
              <w:t>交付ID</w:t>
            </w:r>
          </w:p>
        </w:tc>
        <w:tc>
          <w:tcPr>
            <w:tcW w:type="dxa" w:w="3296"/>
            <w:shd w:fill="234563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Noto Sans CJK SC"/>
                <w:b/>
                <w:color w:val="FFFFFF"/>
                <w:sz w:val="18"/>
              </w:rPr>
              <w:t>应产生的文件/状态</w:t>
            </w:r>
          </w:p>
        </w:tc>
        <w:tc>
          <w:tcPr>
            <w:tcW w:type="dxa" w:w="3296"/>
            <w:shd w:fill="234563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Noto Sans CJK SC"/>
                <w:b/>
                <w:color w:val="FFFFFF"/>
                <w:sz w:val="18"/>
              </w:rPr>
              <w:t>真正的FAIL closed条件</w:t>
            </w:r>
          </w:p>
        </w:tc>
      </w:tr>
      <w:tr>
        <w:trPr>
          <w:cantSplit/>
        </w:trPr>
        <w:tc>
          <w:tcPr>
            <w:tcW w:type="dxa" w:w="3296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/>
                <w:sz w:val="17"/>
              </w:rPr>
              <w:t>R7C0-00</w:t>
            </w:r>
          </w:p>
        </w:tc>
        <w:tc>
          <w:tcPr>
            <w:tcW w:type="dxa" w:w="3296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GitHub release/tag/commit SHA +本地zip身份/隐私和许可记录。</w:t>
            </w:r>
          </w:p>
        </w:tc>
        <w:tc>
          <w:tcPr>
            <w:tcW w:type="dxa" w:w="3296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tag内容不一致/未授权私人记录外泄。</w:t>
            </w:r>
          </w:p>
        </w:tc>
      </w:tr>
      <w:tr>
        <w:trPr>
          <w:cantSplit/>
        </w:trPr>
        <w:tc>
          <w:tcPr>
            <w:tcW w:type="dxa" w:w="3296"/>
            <w:vAlign w:val="center"/>
            <w:shd w:fill="F5F8FA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/>
                <w:sz w:val="17"/>
              </w:rPr>
              <w:t>R7C0-01</w:t>
            </w:r>
          </w:p>
        </w:tc>
        <w:tc>
          <w:tcPr>
            <w:tcW w:type="dxa" w:w="3296"/>
            <w:vAlign w:val="center"/>
            <w:shd w:fill="F5F8FA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disease N/prior/LD code &amp; literature audit TSV；sentinel replay若被触发。</w:t>
            </w:r>
          </w:p>
        </w:tc>
        <w:tc>
          <w:tcPr>
            <w:tcW w:type="dxa" w:w="3296"/>
            <w:vAlign w:val="center"/>
            <w:shd w:fill="F5F8FA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无来源的N替换、按posterior方向选择模型。</w:t>
            </w:r>
          </w:p>
        </w:tc>
      </w:tr>
      <w:tr>
        <w:trPr>
          <w:cantSplit/>
        </w:trPr>
        <w:tc>
          <w:tcPr>
            <w:tcW w:type="dxa" w:w="3296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/>
                <w:sz w:val="17"/>
              </w:rPr>
              <w:t>R7C0-02</w:t>
            </w:r>
          </w:p>
        </w:tc>
        <w:tc>
          <w:tcPr>
            <w:tcW w:type="dxa" w:w="3296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FinnGen R12/13 CHIRBIL endpoint manifest；donor overlap/CS/allele/build/trait资格。</w:t>
            </w:r>
          </w:p>
        </w:tc>
        <w:tc>
          <w:tcPr>
            <w:tcW w:type="dxa" w:w="3296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不能定位source、重复病例当独立队列、无CS强行称复制。</w:t>
            </w:r>
          </w:p>
        </w:tc>
      </w:tr>
      <w:tr>
        <w:trPr>
          <w:cantSplit/>
        </w:trPr>
        <w:tc>
          <w:tcPr>
            <w:tcW w:type="dxa" w:w="3296"/>
            <w:vAlign w:val="center"/>
            <w:shd w:fill="F5F8FA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/>
                <w:sz w:val="17"/>
              </w:rPr>
              <w:t>R7C0-03</w:t>
            </w:r>
          </w:p>
        </w:tc>
        <w:tc>
          <w:tcPr>
            <w:tcW w:type="dxa" w:w="3296"/>
            <w:vAlign w:val="center"/>
            <w:shd w:fill="F5F8FA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OMIX processed archive source receipt、case/control、donor/spot/slide map。</w:t>
            </w:r>
          </w:p>
        </w:tc>
        <w:tc>
          <w:tcPr>
            <w:tcW w:type="dxa" w:w="3296"/>
            <w:vAlign w:val="center"/>
            <w:shd w:fill="F5F8FA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不明donor直接做个体层差异表达；受限数据误公开。</w:t>
            </w:r>
          </w:p>
        </w:tc>
      </w:tr>
      <w:tr>
        <w:trPr>
          <w:cantSplit/>
        </w:trPr>
        <w:tc>
          <w:tcPr>
            <w:tcW w:type="dxa" w:w="3296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/>
                <w:sz w:val="17"/>
              </w:rPr>
              <w:t>R7C0-04</w:t>
            </w:r>
          </w:p>
        </w:tc>
        <w:tc>
          <w:tcPr>
            <w:tcW w:type="dxa" w:w="3296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47-locus cluster sensitivity and nested-primary denominator dictionary。</w:t>
            </w:r>
          </w:p>
        </w:tc>
        <w:tc>
          <w:tcPr>
            <w:tcW w:type="dxa" w:w="3296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642 当独立样本；把重抽样分位范围称population CI。</w:t>
            </w:r>
          </w:p>
        </w:tc>
      </w:tr>
      <w:tr>
        <w:trPr>
          <w:cantSplit/>
        </w:trPr>
        <w:tc>
          <w:tcPr>
            <w:tcW w:type="dxa" w:w="3296"/>
            <w:vAlign w:val="center"/>
            <w:shd w:fill="F5F8FA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/>
                <w:sz w:val="17"/>
              </w:rPr>
              <w:t>R7C0-05</w:t>
            </w:r>
          </w:p>
        </w:tc>
        <w:tc>
          <w:tcPr>
            <w:tcW w:type="dxa" w:w="3296"/>
            <w:vAlign w:val="center"/>
            <w:shd w:fill="F5F8FA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二轨Q1/Q2科学收获与成本裁决、停止理由及未来图任务。</w:t>
            </w:r>
          </w:p>
        </w:tc>
        <w:tc>
          <w:tcPr>
            <w:tcW w:type="dxa" w:w="3296"/>
            <w:vAlign w:val="center"/>
            <w:shd w:fill="F5F8FA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未满足G2或G5却自称高级机制证据。</w:t>
            </w:r>
          </w:p>
        </w:tc>
      </w:tr>
      <w:tr>
        <w:trPr>
          <w:cantSplit/>
        </w:trPr>
        <w:tc>
          <w:tcPr>
            <w:tcW w:type="dxa" w:w="3296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/>
                <w:sz w:val="17"/>
              </w:rPr>
              <w:t>R7C0-99</w:t>
            </w:r>
          </w:p>
        </w:tc>
        <w:tc>
          <w:tcPr>
            <w:tcW w:type="dxa" w:w="3296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详细Markdown行动记录+版本化状态+源文件hash+下一阶段目标。</w:t>
            </w:r>
          </w:p>
        </w:tc>
        <w:tc>
          <w:tcPr>
            <w:tcW w:type="dxa" w:w="3296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未实际运行的程序被写成PASS。</w:t>
            </w:r>
          </w:p>
        </w:tc>
      </w:tr>
    </w:tbl>
    <w:p>
      <w:pPr>
        <w:spacing w:after="0"/>
      </w:pPr>
    </w:p>
    <w:p>
      <w:pPr>
        <w:pStyle w:val="Heading1"/>
      </w:pPr>
      <w:r>
        <w:t>附录 E｜参考文献与成果边界</w:t>
      </w:r>
    </w:p>
    <w:p>
      <w:pPr>
        <w:spacing w:after="40"/>
        <w:ind w:left="198" w:hanging="198"/>
      </w:pPr>
      <w:r>
        <w:rPr>
          <w:rFonts w:ascii="Calibri" w:hAnsi="Calibri" w:eastAsia="Noto Sans CJK SC"/>
          <w:sz w:val="17"/>
        </w:rPr>
        <w:t>[R1] Cordell HJ et al. An international genome-wide meta-analysis of primary biliary cholangitis. Journal of Hepatology. 2021;75:572–581. doi:10.1016/j.jhep.2021.04.055.</w:t>
      </w:r>
    </w:p>
    <w:p>
      <w:pPr>
        <w:spacing w:after="40"/>
        <w:ind w:left="198" w:hanging="198"/>
      </w:pPr>
      <w:r>
        <w:rPr>
          <w:rFonts w:ascii="Calibri" w:hAnsi="Calibri" w:eastAsia="Noto Sans CJK SC"/>
          <w:sz w:val="17"/>
        </w:rPr>
        <w:t>[R2] Yazar S et al. Single-cell eQTL mapping identifies cell type-specific genetic control of autoimmune disease. Science. 2022;376:eabf3041. doi:10.1126/science.abf3041.</w:t>
      </w:r>
    </w:p>
    <w:p>
      <w:pPr>
        <w:spacing w:after="40"/>
        <w:ind w:left="198" w:hanging="198"/>
      </w:pPr>
      <w:r>
        <w:rPr>
          <w:rFonts w:ascii="Calibri" w:hAnsi="Calibri" w:eastAsia="Noto Sans CJK SC"/>
          <w:sz w:val="17"/>
        </w:rPr>
        <w:t>[R3] Wang G et al. A simple new approach to variable selection in regression with application to genetic fine-mapping. JRSS B. 2020. doi:10.1111/rssb.12388.</w:t>
      </w:r>
    </w:p>
    <w:p>
      <w:pPr>
        <w:spacing w:after="40"/>
        <w:ind w:left="198" w:hanging="198"/>
      </w:pPr>
      <w:r>
        <w:rPr>
          <w:rFonts w:ascii="Calibri" w:hAnsi="Calibri" w:eastAsia="Noto Sans CJK SC"/>
          <w:sz w:val="17"/>
        </w:rPr>
        <w:t>[R4] Wallace C. A more accurate method for colocalisation analysis allowing for multiple causal variants. PLoS Genetics. 2021. doi:10.1371/journal.pgen.1009440.</w:t>
      </w:r>
    </w:p>
    <w:p>
      <w:pPr>
        <w:spacing w:after="40"/>
        <w:ind w:left="198" w:hanging="198"/>
      </w:pPr>
      <w:r>
        <w:rPr>
          <w:rFonts w:ascii="Calibri" w:hAnsi="Calibri" w:eastAsia="Noto Sans CJK SC"/>
          <w:sz w:val="17"/>
        </w:rPr>
        <w:t>[R5] Zou Y et al. Fine-mapping from summary data with the Sum of Single Effects model. PLoS Genetics. 2022. doi:10.1371/journal.pgen.1010299.</w:t>
      </w:r>
    </w:p>
    <w:p>
      <w:pPr>
        <w:spacing w:after="40"/>
        <w:ind w:left="198" w:hanging="198"/>
      </w:pPr>
      <w:r>
        <w:rPr>
          <w:rFonts w:ascii="Calibri" w:hAnsi="Calibri" w:eastAsia="Noto Sans CJK SC"/>
          <w:sz w:val="17"/>
        </w:rPr>
        <w:t>[R6] Gjoka A, Cordell HJ. Fine-mapping PBC GWAS using SuSiE and h2-D2. Genetic Epidemiology. 2025. doi:10.1002/gepi.22592.</w:t>
      </w:r>
    </w:p>
    <w:p>
      <w:pPr>
        <w:spacing w:after="40"/>
        <w:ind w:left="198" w:hanging="198"/>
      </w:pPr>
      <w:r>
        <w:rPr>
          <w:rFonts w:ascii="Calibri" w:hAnsi="Calibri" w:eastAsia="Noto Sans CJK SC"/>
          <w:sz w:val="17"/>
        </w:rPr>
        <w:t>[R7] Xue A et al. Genetic variants associated with cell-type-specific intra-individual gene expression variability. Nature Communications. 2026. doi:10.1038/s41467-026-77453-9.</w:t>
      </w:r>
    </w:p>
    <w:p>
      <w:pPr>
        <w:spacing w:after="40"/>
        <w:ind w:left="198" w:hanging="198"/>
      </w:pPr>
      <w:r>
        <w:rPr>
          <w:rFonts w:ascii="Calibri" w:hAnsi="Calibri" w:eastAsia="Noto Sans CJK SC"/>
          <w:sz w:val="17"/>
        </w:rPr>
        <w:t>[R8] Kanai M et al. Population-scale immune multiome atlas reveals regulatory disease mechanisms. Nature. 2026. doi:10.1038/s41586-026-11078-2.</w:t>
      </w:r>
    </w:p>
    <w:p>
      <w:pPr>
        <w:spacing w:after="40"/>
        <w:ind w:left="198" w:hanging="198"/>
      </w:pPr>
      <w:r>
        <w:rPr>
          <w:rFonts w:ascii="Calibri" w:hAnsi="Calibri" w:eastAsia="Noto Sans CJK SC"/>
          <w:sz w:val="17"/>
        </w:rPr>
        <w:t>[R9] Han Z et al. FCRL3, benzo[a]pyrene and PBC through multi-omics. BMC Gastroenterology. 2026. doi:10.1186/s12876-026-04614-x.</w:t>
      </w:r>
    </w:p>
    <w:p>
      <w:pPr>
        <w:spacing w:after="40"/>
        <w:ind w:left="198" w:hanging="198"/>
      </w:pPr>
      <w:r>
        <w:rPr>
          <w:rFonts w:ascii="Calibri" w:hAnsi="Calibri" w:eastAsia="Noto Sans CJK SC"/>
          <w:sz w:val="17"/>
        </w:rPr>
        <w:t>[R10] Xi J et al. Plasma/cerebrospinal protein MR in PBC. PLoS ONE. 2026. doi:10.1371/journal.pone.0340166.</w:t>
      </w:r>
    </w:p>
    <w:p>
      <w:pPr>
        <w:spacing w:after="40"/>
        <w:ind w:left="198" w:hanging="198"/>
      </w:pPr>
      <w:r>
        <w:rPr>
          <w:rFonts w:ascii="Calibri" w:hAnsi="Calibri" w:eastAsia="Noto Sans CJK SC"/>
          <w:sz w:val="17"/>
        </w:rPr>
        <w:t>[R11] Lin Y et al. Immune cell MR and annotation for PBC. Medicine. 2026. doi:10.1097/MD.0000000000049146.</w:t>
      </w:r>
    </w:p>
    <w:p>
      <w:pPr>
        <w:spacing w:after="40"/>
        <w:ind w:left="198" w:hanging="198"/>
      </w:pPr>
      <w:r>
        <w:rPr>
          <w:rFonts w:ascii="Calibri" w:hAnsi="Calibri" w:eastAsia="Noto Sans CJK SC"/>
          <w:sz w:val="17"/>
        </w:rPr>
        <w:t>[R12] Li X et al. Unique DUOX2+ACE2+ small cholangiocytes are pathogenic targets for PBC. Nature Communications. 2023. doi:10.1038/s41467-022-34606-w.</w:t>
      </w:r>
    </w:p>
    <w:p>
      <w:pPr>
        <w:spacing w:after="40"/>
        <w:ind w:left="198" w:hanging="198"/>
      </w:pPr>
      <w:r>
        <w:rPr>
          <w:rFonts w:ascii="Calibri" w:hAnsi="Calibri" w:eastAsia="Noto Sans CJK SC"/>
          <w:sz w:val="17"/>
        </w:rPr>
        <w:t>[R13] Open Regulatory Evidence Project. R7B4B2 public scientific evidence snapshot and versioned release. GitHub, Oct 2026.</w:t>
      </w:r>
    </w:p>
    <w:p>
      <w:pPr>
        <w:spacing w:after="40"/>
        <w:ind w:left="198" w:hanging="198"/>
      </w:pPr>
      <w:r>
        <w:rPr>
          <w:rFonts w:ascii="Calibri" w:hAnsi="Calibri" w:eastAsia="Noto Sans CJK SC"/>
          <w:sz w:val="17"/>
        </w:rPr>
        <w:t>[R14] CASCADE Browser and FinnGen Public Multiome Data Release. https://cascade.finngen.fi/data/. Accessed 2026-10-11.</w:t>
      </w:r>
    </w:p>
    <w:p>
      <w:pPr>
        <w:spacing w:after="40"/>
        <w:ind w:left="198" w:hanging="198"/>
      </w:pPr>
      <w:r>
        <w:rPr>
          <w:rFonts w:ascii="Calibri" w:hAnsi="Calibri" w:eastAsia="Noto Sans CJK SC"/>
          <w:sz w:val="17"/>
        </w:rPr>
        <w:t>[R15] National Genomics Data Center. OMIX001122 PBC scRNA and spatial processed data. Accessed 2026-10-11.</w:t>
      </w:r>
    </w:p>
    <w:p>
      <w:pPr>
        <w:spacing w:after="40"/>
        <w:ind w:left="198" w:hanging="198"/>
      </w:pPr>
      <w:r>
        <w:rPr>
          <w:rFonts w:ascii="Calibri" w:hAnsi="Calibri" w:eastAsia="Noto Sans CJK SC"/>
          <w:sz w:val="17"/>
        </w:rPr>
        <w:t>[R16] Nature/Springer Nature. Preprint policies. https://support.springernature.com/en/support/solutions/articles/6000258807-preprints. Accessed 2026-10-11.</w:t>
      </w:r>
    </w:p>
    <w:p>
      <w:pPr>
        <w:spacing w:after="140"/>
        <w:jc w:val="both"/>
      </w:pPr>
      <w:r>
        <w:rPr>
          <w:rFonts w:ascii="Calibri" w:hAnsi="Calibri" w:eastAsia="Noto Sans CJK SC"/>
          <w:b w:val="0"/>
        </w:rPr>
        <w:t>以上引用用于背景、方法、数据可用性与新颖性评估；不作为本项目直接计算的替代。标记 PROPOSED 的外部数据检验即使已经公开，也必须实际读取可追溯字节后才称完成。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77" w:right="1134" w:bottom="964" w:left="1219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Noto Sans CJK SC"/>
        <w:color w:val="596573"/>
        <w:sz w:val="16"/>
      </w:rPr>
      <w:t xml:space="preserve">RP v4  •  evidence-constrained / versioned  |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Noto Sans CJK SC"/>
        <w:color w:val="596573"/>
        <w:sz w:val="16"/>
      </w:rPr>
      <w:t>PBC | RESEARCH PROPOSAL v4 | 2026-10-11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317" w:lineRule="auto"/>
    </w:pPr>
    <w:rPr>
      <w:rFonts w:ascii="Calibri" w:hAnsi="Calibri" w:eastAsia="Noto Sans CJK SC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 w:eastAsia="Noto Sans CJK SC"/>
      <w:b/>
      <w:bCs/>
      <w:color w:val="2345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 w:eastAsia="Noto Sans CJK SC"/>
      <w:b/>
      <w:bCs/>
      <w:color w:val="326586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Noto Sans CJK SC"/>
      <w:b/>
      <w:bCs/>
      <w:color w:val="253545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Research Proposal v4 — PBC regulatory assignment reliability and bounded evidence upgrades</dc:title>
  <dc:subject>2026-10-11 project reassessment; PBC Q1/Q2 gated routes</dc:subject>
  <dc:creator>python-docx</dc:creator>
  <cp:keywords>PBC; colocalization; OneK1K; FinnGen; signal pair; evidence governance</cp:keywords>
  <dc:description>Source-conscious post-result research proposal. Does not authorize submission or modify scientific outputs.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