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Input-matched multi-signal colocalization clarifies immune-cell regulatory assignments at primary biliary cholangitis risk loci</w:t>
      </w:r>
    </w:p>
    <w:p>
      <w:pPr>
        <w:spacing w:line="276" w:lineRule="auto"/>
        <w:ind w:firstLine="0"/>
        <w:jc w:val="center"/>
      </w:pPr>
      <w:r>
        <w:rPr>
          <w:b/>
        </w:rPr>
        <w:t>Article type:</w:t>
      </w:r>
      <w:r>
        <w:t xml:space="preserve"> Research</w:t>
      </w:r>
    </w:p>
    <w:p>
      <w:pPr>
        <w:spacing w:line="276" w:lineRule="auto"/>
        <w:ind w:firstLine="0"/>
        <w:jc w:val="center"/>
      </w:pPr>
      <w:r>
        <w:rPr>
          <w:b/>
        </w:rPr>
        <w:t>Authors:</w:t>
      </w:r>
      <w:r>
        <w:t xml:space="preserve"> Zhi Chen¹ (ORCID: 0009-0001-0072-5576); Teng Qi¹* (ORCID: 0009-0007-7648-4776)</w:t>
      </w:r>
    </w:p>
    <w:p>
      <w:pPr>
        <w:spacing w:line="276" w:lineRule="auto"/>
        <w:ind w:firstLine="0"/>
        <w:jc w:val="center"/>
      </w:pPr>
      <w:r>
        <w:rPr>
          <w:b/>
        </w:rPr>
        <w:t>Affiliations:</w:t>
      </w:r>
      <w:r>
        <w:t xml:space="preserve"> ¹ School of Medicine, The Chinese University of Hong Kong, Shenzhen, 2001 Longxiang Boulevard, Longgang District, Shenzhen, Guangdong 518172, China</w:t>
      </w:r>
    </w:p>
    <w:p>
      <w:pPr>
        <w:spacing w:line="276" w:lineRule="auto"/>
        <w:ind w:firstLine="0"/>
        <w:jc w:val="center"/>
      </w:pPr>
      <w:r>
        <w:rPr>
          <w:b/>
        </w:rPr>
        <w:t>Corresponding author:</w:t>
      </w:r>
      <w:r>
        <w:t xml:space="preserve"> Teng Qi, School of Medicine, The Chinese University of Hong Kong, Shenzhen, 2001 Longxiang Boulevard, Longgang District, Shenzhen, Guangdong 518172, China; tengqi@link.cuhk.edu.cn</w:t>
      </w:r>
    </w:p>
    <w:p>
      <w:pPr>
        <w:pStyle w:val="Heading1"/>
      </w:pPr>
      <w:r>
        <w:t>Abstract</w:t>
      </w:r>
    </w:p>
    <w:p>
      <w:pPr>
        <w:pStyle w:val="Heading2"/>
      </w:pPr>
      <w:r>
        <w:t>Background</w:t>
      </w:r>
    </w:p>
    <w:p>
      <w:r>
        <w:t>Regulatory assignments at primary biliary cholangitis (PBC) risk loci can change with variant coverage, disease-statistic definitions and local signal architecture. We evaluated whether bidirectional colocalization reclassification persisted after matching inputs while separating statistical sharing from biological mechanism. A PBC-wide registry contained 6,923 locus-gene-cell comparisons; 5,460 met the single-causal overlap requirement and a frozen high-information subset of 642 underwent source-matched multi-signal analysis. Four arms retained the historical screen (A0), restricted variant support (A1), matched disease statistics (A2) and compared A2 with the frozen multi-signal result (M). We also evaluated signal-pair identity, PF10/PF50 sensitivity, 486,000 simulation iterations and bounded molecular-QTL and donor-level liver evidence.</w:t>
      </w:r>
    </w:p>
    <w:p>
      <w:pPr>
        <w:pStyle w:val="Heading2"/>
      </w:pPr>
      <w:r>
        <w:t>Results</w:t>
      </w:r>
    </w:p>
    <w:p>
      <w:r>
        <w:t>Support restriction and disease-statistic matching changed 15 and 19 categorical assignments, respectively. With matched inputs, 79 of 113 approximate-Bayes-factor H4 comparisons retained shared-pair support, whereas eight supported distinct pairs; ten of 452 H3 comparisons acquired shared-pair support. Final PF10 states comprised 92 H4-supported, 428 H3-supported, 59 model-sensitive and 63 uninformative comparisons. Thirty-two H4-supported comparisons also contained a qualifying distinct pair. Across the frozen simulation grid, mean false-H4 decisions in distinct-signal scenarios decreased from 12.41% to 8.56%, while shared-signal recovery decreased from 32.99% to 26.66%; only 160,782 iterations (33.08%) formed an evaluable signal pair. IL12RB2-NK and FCRL3 B-cell assignments received bounded cross-resource support. Both target-lineage pairs were detected in all five PBC and five control livers without corrected PBC-specific enrichment (both q=0.111).</w:t>
      </w:r>
    </w:p>
    <w:p>
      <w:pPr>
        <w:pStyle w:val="Heading2"/>
      </w:pPr>
      <w:r>
        <w:t>Conclusions</w:t>
      </w:r>
    </w:p>
    <w:p>
      <w:r>
        <w:t>Input matching explained part, but not all, of the differences in PBC regulatory assignments. Shared and distinct signal pairs, covariate-model sensitivity and discovery limitations should be reported separately. The results do not establish causal truth, general method superiority or tissue mediation.</w:t>
      </w:r>
    </w:p>
    <w:p>
      <w:r>
        <w:rPr>
          <w:b/>
        </w:rPr>
        <w:t>Keywords:</w:t>
      </w:r>
      <w:r>
        <w:t xml:space="preserve"> primary biliary cholangitis; colocalization; single-cell eQTL; fine-mapping; linkage disequilibrium; signal pair; regulatory genomics; statistical genetics</w:t>
      </w:r>
    </w:p>
    <w:p>
      <w:pPr>
        <w:pStyle w:val="Heading1"/>
      </w:pPr>
      <w:r>
        <w:t>Background</w:t>
      </w:r>
    </w:p>
    <w:p>
      <w:r>
        <w:t>Primary biliary cholangitis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w:t>
      </w:r>
    </w:p>
    <w:p>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r>
        <w:t>Bayesian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r>
        <w:t>We therefore used PBC as a disease-focused setting in which to assess the reliability and limits of immune-cell regulatory assignment. The study had four linked tasks. First, we conducted PBC-wide single-causal screening followed by a bounded multi-signal analysis of a frozen high-information subset. Second, we reconstructed matched-input ABF arms to distinguish changes attributable to the variant support set and disease-statistic definition from changes that remained between the single-causal and multi-signal procedures. Third, we separated credible-set discovery from pair-conditional inference in truth-known simulations. Finally, we examined representative IL12RB2-NK and FCRL3 B-cell assignments across independent molecular-QTL resources and bounded tissue evidence. The objective was not to prove that one method is universally superior, to report every supported comparison as an independent discovery, or to infer tissue mechanism from statistical sharing. It was to determine which regulatory assignments were stable, which were input- or model-dependent, and which evidence boundaries remained unresolved.</w:t>
      </w:r>
    </w:p>
    <w:p>
      <w:pPr>
        <w:pStyle w:val="Heading1"/>
      </w:pPr>
      <w:r>
        <w:t>Methods</w:t>
      </w:r>
    </w:p>
    <w:p>
      <w:pPr>
        <w:pStyle w:val="Heading2"/>
      </w:pPr>
      <w:r>
        <w:t>Study design and governance</w:t>
      </w:r>
    </w:p>
    <w:p>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r>
        <w:t>The evidence architecture comprised source validation and harmonization, PBC-wide ABF screening, frozen high-information follow-up, cell-specific LD and multi-signal inference, diagnostic and signal-identity audits, matched-input comparison, simulation evaluation, and bounded external and tissue evidence. This is a conceptual organization, not a claim that every layer was generated in that chronological order: the liver analysis preceded the PBC-wide redesign, and signal-semantics and matched-input analyses were post-result audits. Negative, model-sensitive, coverage-limited and uninformative results remained in the final evidence set.</w:t>
      </w:r>
    </w:p>
    <w:p>
      <w:pPr>
        <w:pStyle w:val="Heading2"/>
      </w:pPr>
      <w:r>
        <w:t>PBC association data and study-derived disease LD</w:t>
      </w:r>
    </w:p>
    <w:p>
      <w:r>
        <w:t>PBC summary statistics were obtained from GWAS Catalog study GCST90061440, representing the GRCh37 European five-panel meta-analysis reported by Cordell and colleagues [2,8].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[9,10].</w:t>
      </w:r>
    </w:p>
    <w:p>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pPr>
      <w:r>
        <w:t>OneK1K expression-QTL data and PBC-wide comparison registry</w:t>
      </w:r>
    </w:p>
    <w:p>
      <w:r>
        <w:t>The cohort origin was the OneK1K single-cell peripheral-blood study [3]. The present reanalysis used the updated 980-donor genotype, covariate and expression resource associated with Xue et al. and Zenodo record 18910121 [11,12].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pPr>
      <w:r>
        <w:t>Variant identity, allele alignment and exact support sets</w:t>
      </w:r>
    </w:p>
    <w:p>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pPr>
      <w:r>
        <w:t>Historical single-causal ABF screen</w:t>
      </w:r>
    </w:p>
    <w:p>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pPr>
      <w:r>
        <w:t>Source-matched QTL LD and current-release model identity</w:t>
      </w:r>
    </w:p>
    <w:p>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center"/>
      </w:pPr>
      <w:r>
        <w:t>G* = [I - C(C^T C)^-1 C^T]G,</w:t>
      </w:r>
    </w:p>
    <w:p>
      <w:pPr>
        <w:ind w:firstLine="0"/>
        <w:jc w:val="center"/>
      </w:pPr>
      <w:r>
        <w:t>and R_QTL = cor(G*).</w:t>
      </w:r>
    </w:p>
    <w:p>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pPr>
      <w:r>
        <w:t>Multi-signal fine-mapping and signal-pair colocalization</w:t>
      </w:r>
    </w:p>
    <w:p>
      <w:r>
        <w:t xml:space="preserve">Disease and QTL association summaries were fine-mapped with SuSiE-RSS [13], the summary-data extension of the SuSiE model [6]. The primary PF10 model was evaluated at L=5, 10 and 20; PF50 was evaluated at L=10. Fits used </w:t>
      </w:r>
      <w:r>
        <w:rPr>
          <w:rFonts w:ascii="Courier New" w:hAnsi="Courier New"/>
          <w:sz w:val="18"/>
        </w:rPr>
        <w:t>estimate_residual_variance=FALSE</w:t>
      </w:r>
      <w:r>
        <w:t xml:space="preserve">, </w:t>
      </w:r>
      <w:r>
        <w:rPr>
          <w:rFonts w:ascii="Courier New" w:hAnsi="Courier New"/>
          <w:sz w:val="18"/>
        </w:rPr>
        <w:t>estimate_prior_variance=TRUE</w:t>
      </w:r>
      <w:r>
        <w:t xml:space="preserve">, </w:t>
      </w:r>
      <w:r>
        <w:rPr>
          <w:rFonts w:ascii="Courier New" w:hAnsi="Courier New"/>
          <w:sz w:val="18"/>
        </w:rPr>
        <w:t>max_iter=2000</w:t>
      </w:r>
      <w:r>
        <w:t xml:space="preserve">, </w:t>
      </w:r>
      <w:r>
        <w:rPr>
          <w:rFonts w:ascii="Courier New" w:hAnsi="Courier New"/>
          <w:sz w:val="18"/>
        </w:rPr>
        <w:t>tol=1x10^-4</w:t>
      </w:r>
      <w:r>
        <w:t>, 95% credible sets and minimum absolute within-set correlation of 0.5. Disease sample size was 24,510; QTL sample sizes followed the cell-specific donor counts.</w:t>
      </w:r>
    </w:p>
    <w:p>
      <w:r>
        <w:t xml:space="preserve">Signal-pair colocalization used </w:t>
      </w:r>
      <w:r>
        <w:rPr>
          <w:rFonts w:ascii="Courier New" w:hAnsi="Courier New"/>
          <w:sz w:val="18"/>
        </w:rPr>
        <w:t>coloc.susie</w:t>
      </w:r>
      <w:r>
        <w:t xml:space="preserv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pPr>
      <w:r>
        <w:t>Multi-signal diagnostic adjudication</w:t>
      </w:r>
    </w:p>
    <w:p>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pPr>
      <w:r>
        <w:t>Matched-input A0/A1/A2/M attribution design</w:t>
      </w:r>
    </w:p>
    <w:p>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pPr>
      <w:r>
        <w:t>Simulation design and outcome channels</w:t>
      </w:r>
    </w:p>
    <w:p>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pPr>
      <w:r>
        <w:t>External molecular-QTL evaluation</w:t>
      </w:r>
    </w:p>
    <w:p>
      <w:r>
        <w:t>External evaluation was bounded to the representative IL12RB2-NK and FCRL3 B-cell axes; it was not used to select new genes. TenK10K common-variant cis-eQTL statistics within +/-100 kb were intersected with the same PBC disease summaries [4,14].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r>
        <w:t>FinnGen R12 PBC and molecular-QTL colocalization records were queried through the public outputs of the population-scale immune multiome resource [15]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pPr>
      <w:r>
        <w:t>Positional chromatin evidence</w:t>
      </w:r>
    </w:p>
    <w:p>
      <w:r>
        <w:t>For IL12RB2, we reviewed FinnGen immune-multiome eQTL, chromatin-accessibility QTL and peak-gene linkage outputs [15]. We recorded whether the representative eQTL variant overlapped an accessibility peak, whether the peak was linked to IL12RB2, whether the peak had a strong caQTL and whether the eQTL anchor entered the peak caQTL credible set. A complete disease-to-chromatin-to-expression cascade required disease-caQTL sharing and variant-level signal coherence; positional overlap alone did not satisfy that rule.</w:t>
      </w:r>
    </w:p>
    <w:p>
      <w:pPr>
        <w:pStyle w:val="Heading2"/>
      </w:pPr>
      <w:r>
        <w:t>Donor-level liver target-panel analysis</w:t>
      </w:r>
    </w:p>
    <w:p>
      <w:r>
        <w:t xml:space="preserve">HRA008003 is an open-access single-cell study of liver and blood in PBC [16,17]. We analyzed liver BAM files from five treatment-naive PBC donors (HRR1849459-HRR1849463) and five non-lesion liver controls obtained during hepatic hemangioma surgery (HRR1849454-HRR1849458). Source sizes and checksums were verified, and each BAM passed </w:t>
      </w:r>
      <w:r>
        <w:rPr>
          <w:rFonts w:ascii="Courier New" w:hAnsi="Courier New"/>
          <w:sz w:val="18"/>
        </w:rPr>
        <w:t>samtools quickcheck</w:t>
      </w:r>
      <w:r>
        <w:t xml:space="preserve"> and tag-schema preflight.</w:t>
      </w:r>
    </w:p>
    <w:p>
      <w:r>
        <w:t xml:space="preserve">Molecule representatives were counted from records carrying the 10x </w:t>
      </w:r>
      <w:r>
        <w:rPr>
          <w:rFonts w:ascii="Courier New" w:hAnsi="Courier New"/>
          <w:sz w:val="18"/>
        </w:rPr>
        <w:t>xf</w:t>
      </w:r>
      <w:r>
        <w:t xml:space="preserve"> bit 8 flag, corrected cell barcode, gene name and unique molecular identifier. Called cells were determined using the frozen library-specific rank rule. B-lineage cells were identified from a prespecified B-marker panel and NK-lineage cells from a prespecified NK-marker panel, with lineage competition against T-cell and myeloid markers. Each donor-lineage unit required at least ten cells. Target detectability required at least three target UMIs and at least two target-positive lineage cells. Target CPM was calculated as target UMIs divided by total lineage UMIs multiplied by 10^6.</w:t>
      </w:r>
    </w:p>
    <w:p>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pPr>
      <w:r>
        <w:t>Reproducibility and reporting</w:t>
      </w:r>
    </w:p>
    <w:p>
      <w:r>
        <w:t>External inputs were recorded with accession, URL, byte count and available MD5 or locally calculated SHA-256 values. Large third-party files and donor-level genotype data were not mirrored publicly. Code, compact aggregate results, manifests and evidence ledgers were retained in the project repository [18]. Every central manuscript claim was mapped to a frozen source table, allowed wording, prohibited inference and limitation. Methods commitments were mirrored to corresponding Results statements before manuscript assembly.</w:t>
      </w:r>
    </w:p>
    <w:p>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1"/>
      </w:pPr>
      <w:r>
        <w:t>Results</w:t>
      </w:r>
    </w:p>
    <w:p>
      <w:pPr>
        <w:pStyle w:val="Heading2"/>
      </w:pPr>
      <w:r>
        <w:t>PBC-wide screening defined a bounded high-information multi-signal analysis</w:t>
      </w:r>
    </w:p>
    <w:p>
      <w: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1B). It covered 47 PBC regions, 200 genes, 14 cell types and 286 cell-locus blocks.</w:t>
      </w:r>
    </w:p>
    <w:p>
      <w: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w:t>
      </w:r>
    </w:p>
    <w:p>
      <w:r>
        <w:t>Current-release identity and diagnostic gates closed before manuscript interpretation. The targeted current-release gate passed 14 of 14 comparison-model identity rows (seven comparisons, two covariate models). The expanded registry covered 14 source cell types, a different counting unit. Corrected kriging diagnostics passed for 2,568 of 2,568 comparison-model-trait units. The only unique official-rule event was outside all recorded credible sets and did not alter a claim-bearing result (Figure 1D).</w:t>
      </w:r>
    </w:p>
    <w:p>
      <w:pPr>
        <w:pStyle w:val="Heading2"/>
      </w:pPr>
      <w:r>
        <w:t>Matching support and disease statistics explained some, but not all, reclassification</w:t>
      </w:r>
    </w:p>
    <w:p>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r>
        <w:t>Restricting the ABF calculation from S_A to S_M changed 15 categorical states (A0-to-A1) while retaining all 112 historical H4 states. Replacing the harmonized GCST disease definition with the matched GJOKA z-statistic definition changed another 19 states (A1-to-A2; Figure 2B). Fixed-versus-native sdY and matched-z-versus-rounded GJOKA sensitivity definitions produced no categorical changes within the frozen 642. Input coordination therefore mattered, but it did not erase the high-information shared-signal screen.</w:t>
      </w:r>
    </w:p>
    <w:p>
      <w: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w:t>
      </w:r>
    </w:p>
    <w:p>
      <w:r>
        <w:t>Ten of 12 historical directional transitions remained strict H4/H3 changes under matched inputs. FCRL3-CD8_ET remained H4 in A0, A1 and A2 but was H3 under the primary PF10 multi-signal analysis. Two historical cases entered the multi-signal analysis from matched-input ambiguous states and were no longer counted as strict A2-to-M reversals. This prevented preservation of a historical narrative from overriding the matched-input definition.</w:t>
      </w:r>
    </w:p>
    <w:p>
      <w:r>
        <w:t>Among the 520 comparisons with a definite PF10 H4 or H3 state, PF50 produced the same state in 491 (94.42%), changed four to the alternative supported state and was uninformative in 25 (Figure 2E). The remaining 122 PF10 model-sensitive or uninformative comparisons were not included in this denominator. PF50 concordance was therefore high among definite PF10 states, but it was not 491 of all 642 comparisons.</w:t>
      </w:r>
    </w:p>
    <w:p>
      <w: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2F). H4 support therefore meant that at least one shared pair was stable, not that every signal in the region was shared. Conversely, H3 support identified a stable distinct pair and did not prove the global absence of another shared pair.</w:t>
      </w:r>
    </w:p>
    <w:p>
      <w:pPr>
        <w:pStyle w:val="Heading2"/>
      </w:pPr>
      <w:r>
        <w:t>Simulation exposed a trade-off between false sharing, shared-signal recovery and discovery adequacy</w:t>
      </w:r>
    </w:p>
    <w:p>
      <w: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3A,D).</w:t>
      </w:r>
    </w:p>
    <w:p>
      <w: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3B).</w:t>
      </w:r>
    </w:p>
    <w:p>
      <w: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3C).</w:t>
      </w:r>
    </w:p>
    <w:p>
      <w: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w:t>
      </w:r>
    </w:p>
    <w:p>
      <w:pPr>
        <w:pStyle w:val="Heading2"/>
      </w:pPr>
      <w:r>
        <w:t>IL12RB2-NK showed cross-resource support with an incomplete chromatin chain</w:t>
      </w:r>
    </w:p>
    <w:p>
      <w:r>
        <w:t>IL12RB2-NK was a representative stable-H4 comparison in OneK1K. Best PF10 signal-pair PP.H4 values were 0.9980 across L=5, 10 and 20; PF50 L=10 yielded PP.H4=0.9965 (Figure 4A). The comparison also contained a distinct signal pair, illustrating why stable H4 did not impose a single global mechanism label on the region.</w:t>
      </w:r>
    </w:p>
    <w:p>
      <w:r>
        <w:t>TenK10K NK-cell eQTL data reproduced the PBC-IL12RB2 sharing pattern under the bounded single-causal replication model (396 overlapping variants; default PP.H4=0.9975; low-prior H4/[H3+H4]=0.9760). FinnGen returned three PBC-IL12RB2 molecular-QTL colocalization records, for l1.NK, l1.PBMC and l2.NK strata. PP.H4 ranged from 0.9698 to 0.9706, with credible-set overlap of five to nine variants (Figure 4B). These strata came from one resource and were not counted as three independent cohorts.</w:t>
      </w:r>
    </w:p>
    <w:p>
      <w:r>
        <w:t>The aligned PBC risk allele was associated with higher IL12RB2 expression in OneK1K, TenK10K and the compatible FinnGen strata (Figure 4C). Effect magnitudes were not compared across resources because the expression transformations and models differed. The concordant direction strengthened the readability of the regulatory association but did not establish expression mediation.</w:t>
      </w:r>
    </w:p>
    <w:p>
      <w:r>
        <w:t>The chromatin layer remained partial. The representative eQTL variant lay inside an accessibility peak linked to IL12RB2; the peak-gene link coefficient was 0.141, and peak caQTL q values were 3.93x10^-13 and 6.02x10^-15 in the two NK strata. The eQTL variant had maximum PIP 0.575 but did not enter the peak caQTL credible set. PBC-caQTL signal sharing was not established. We therefore treated this as positional chromatin support rather than a complete disease-to-chromatin-to-expression cascade (Figure 4D).</w:t>
      </w:r>
    </w:p>
    <w:p>
      <w:pPr>
        <w:pStyle w:val="Heading2"/>
      </w:pPr>
      <w:r>
        <w:t>FCRL3 combined reproducible B-cell sharing with a model-sensitive T-cell counterexample</w:t>
      </w:r>
    </w:p>
    <w:p>
      <w:r>
        <w:t>FCRL3 showed stable OneK1K B-cell sharing in intermediate and memory B cells. Under PF10 L=10, best signal-pair PP.H4 values were 0.9937 and 0.9910, respectively (Figure 5A). TenK10K intermediate B cells reproduced the sharing pattern (343 overlapping variants; default PP.H4=0.9916; low-prior H4/[H3+H4]=0.9217; Figure 5B). Because the same PBC GWAS was reused, this was cross-QTL-resource support rather than independent disease replication.</w:t>
      </w:r>
    </w:p>
    <w:p>
      <w:r>
        <w:t>The PBC risk allele was associated with lower FCRL3 expression in the compatible OneK1K and TenK10K B-cell contexts. Current FinnGen public output returned no direct PBC-FCRL3 pair. That non-return was a coverage boundary, not evidence against sharing.</w:t>
      </w:r>
    </w:p>
    <w:p>
      <w:r>
        <w:t>FCRL3-CD8_ET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5C).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FCRL3 has no role in CD8 T cells.</w:t>
      </w:r>
    </w:p>
    <w:p>
      <w:pPr>
        <w:pStyle w:val="Heading2"/>
      </w:pPr>
      <w:r>
        <w:t>Liver expression supported lineage detectability but not corrected PBC-specific enrichment</w:t>
      </w:r>
    </w:p>
    <w:p>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w:t>
      </w:r>
    </w:p>
    <w:p>
      <w:r>
        <w:t>These results established that both genes could be detected in the relevant liver immune-lineage compartments in this dataset. They did not show corrected PBC-specific enrichment, tissue mediation or a disease-state mechanism (Figure 6C). The small donor sample and surgical non-lesion controls further limited generalization. The tissue layer therefore constrained, rather than completed, the regulatory narrative.</w:t>
      </w:r>
    </w:p>
    <w:p>
      <w:pPr>
        <w:pStyle w:val="Heading1"/>
      </w:pPr>
      <w:r>
        <w:t>Discussion</w:t>
      </w:r>
    </w:p>
    <w:p>
      <w:r>
        <w:t>This study used a fixed PBC comparison universe to ask why regulatory assignments change when single-causal screening is followed by source-matched multi-signal inference. The central finding was that input coordination explained a measurable portion of the changes but did not eliminate bidirectional H4/H3 reclassification. Restricting the support set changed 15 of 642 states, and matching the disease statistic changed 19. After those steps, eight ABF H4 comparisons supported distinct pairs under the multi-signal procedure and ten ABF H3 comparisons supported shared pairs. The direction was therefore not limited to falsifying favorable ABF results.</w:t>
      </w:r>
    </w:p>
    <w:p>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r>
        <w:t>PF10/PF50 results provide a second boundary. Among comparisons with a definite PF10 H4/H3 state, 491 of 520 retained the same state under PF50. This high conditional agreement supports the overall stability of many assignments. Yet FCRL3-CD8_ET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w:t>
      </w:r>
    </w:p>
    <w:p>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r>
        <w:t>The external axes demonstrate how a reliability framework can strengthen biological interpretation without inflating mechanism. IL12RB2-NK was stable across OneK1K configurations, reproduced in TenK10K and supported by FinnGen molecular-QTL strata. The risk allele was consistently associated with higher expression. Prior PBC studies have also prioritized IL12RB2 through integrative genetic analyses [19,20], so the contribution here is not first nomination of the gene. It is the source-aware, cell-context-specific and signal-pair-bounded evaluation. The chromatin data remained positional because the eQTL anchor was absent from the peak caQTL credible set and disease-caQTL colocalization was not established.</w:t>
      </w:r>
    </w:p>
    <w:p>
      <w:r>
        <w:t>FCRL3 B-cell sharing was supported in OneK1K and TenK10K, with a consistent lower-expression direction for the risk allele. Independent 2026 work has reported PBC-related FCRL3 evidence in liver B cells and plasma-protein colocalization [21,22].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Genetic regulatory effects need not produce a large average case-control expression difference in an affected organ, particularly across heterogeneous cell states and disease stages. The null corrected result is therefore not a contradiction of the genetic association, but it also cannot be used as affirmative tissue mediation.</w:t>
      </w:r>
    </w:p>
    <w:p>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r>
        <w:t>Several limitations define the claim ceiling. First, only the high-information subset received multi-signal analysis; the study is PBC-wide screening followed by bounded reclassification, not a multi-signal analysis of all 6,923 comparisons. Second, real data contain no causal truth, so H4-to-H3 and H3-to-H4 changes are reclassifications rather than measured error corrections. Third, the simulation used two empirical 128-variant LD templates and a finite parameter grid. It describes single-configuration operating characteristics over that grid, not end-to-end calibration of the composite real-data gate or performance at every disease architecture, sample size or LD mismatch. Fourth, credible-set discovery limited pair-evaluable iterations; larger or more diverse simulations would not by themselves solve weak information in a given dataset. Fifth, OneK1K and TenK10K analyses reused the same PBC GWAS. Sixth, the liver study contained five donors per group, used non-lesion surgical controls and applied a bounded target panel rather than full-transcriptome state modeling. Finally, no perturbational experiment tested whether changing IL12RB2 or FCRL3 expression alters PBC-relevant immune or biliary phenotypes.</w:t>
      </w:r>
    </w:p>
    <w:p>
      <w:r>
        <w:t>Three next tests follow directly from these limits. The first priority is external disease replication: repeat signal-pair analysis when an independent, well-powered PBC GWAS with compatible ancestry, allele definitions and regional summaries becomes available. The second is model resolution: test PF-sensitive assignments using independent QTL cohorts with donor-level genotypes and prespecified covariate models. The third is mechanism: perturb IL12RB2 in NK cells and FCRL3 in B-cell subsets, then measure defined immune phenotypes and interactions with cholangiocyte-relevant systems. Those experiments would distinguish a reproducible regulatory association from direct biological mediation.</w:t>
      </w:r>
    </w:p>
    <w:p>
      <w:pPr>
        <w:pStyle w:val="Heading1"/>
      </w:pPr>
      <w:r>
        <w:t>Conclusions</w:t>
      </w:r>
    </w:p>
    <w:p>
      <w:r>
        <w:t>At PBC risk loci, matching variant support and disease-statistic definitions explained part of the difference between single-causal and multi-signal colocalization, but strict bidirectional reclassification remained. Reliable regulatory attribution required signal-pair identity, coexistence of shared and distinct pairs, covariate-model sensitivity and credible-set discovery to be reported separately. IL12RB2-NK and FCRL3 B-cell assignments received bounded cross-resource support, whereas liver data supported lineage detectability without corrected disease enrichment. The resulting framework improves interpretability without treating statistical signal sharing as causal mechanism.</w:t>
      </w:r>
    </w:p>
    <w:p>
      <w:pPr>
        <w:pStyle w:val="Heading1"/>
      </w:pPr>
      <w:r>
        <w:t>List of abbreviations</w:t>
      </w:r>
    </w:p>
    <w:p>
      <w:r>
        <w:t>ABF: approximate Bayes factor; BH: Benjamini-Hochberg; CPM: counts per million; CS: credible set; eQTL: expression quantitative-trait locus; GWAS: genome-wide association study; H3: posterior hypothesis of two distinct associated variants/signals; H4: posterior hypothesis of a shared associated variant/signal; LD: linkage disequilibrium; PBMC: peripheral blood mononuclear cell; PBC: primary biliary cholangitis; PF: expression factor; PIP: posterior inclusion probability; QTL: quantitative-trait locus; RSS: regression with summary statistics.</w:t>
      </w:r>
    </w:p>
    <w:p>
      <w:pPr>
        <w:pStyle w:val="Heading1"/>
      </w:pPr>
      <w:r>
        <w:t>Declarations</w:t>
      </w:r>
    </w:p>
    <w:p>
      <w:pPr>
        <w:pStyle w:val="Heading2"/>
      </w:pPr>
      <w:r>
        <w:t>Ethics approval and consent to participate</w:t>
      </w:r>
    </w:p>
    <w:p>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2"/>
      </w:pPr>
      <w:r>
        <w:t>Consent for publication</w:t>
      </w:r>
    </w:p>
    <w:p>
      <w:r>
        <w:t>Not applicable.</w:t>
      </w:r>
    </w:p>
    <w:p>
      <w:pPr>
        <w:pStyle w:val="Heading2"/>
      </w:pPr>
      <w:r>
        <w:t>Availability of data and materials</w:t>
      </w:r>
    </w:p>
    <w:p>
      <w:r>
        <w:t xml:space="preserve">PBC summary statistics are available through GWAS Catalog study GCST90061440. Study-derived PBC regional statistics and LD are available from the GJOKA archive. The OneK1K cohort, updated release and TenK10K resource are identified separately in their cited publications and Zenodo records. HRA008003 is available through GSA-Human. Code, compact aggregate outputs, manifests, frozen protocols, source-bound figures and submission-interface assets are versioned in the public repository at </w:t>
      </w:r>
      <w:r>
        <w:rPr>
          <w:rFonts w:ascii="Courier New" w:hAnsi="Courier New"/>
          <w:sz w:val="18"/>
        </w:rPr>
        <w:t>https://github.com/1209433622cz-maker/igan-open-regulatory-evidence/tree/r7b4a-human-genomics-interface-2026-10-10</w:t>
      </w:r>
      <w:r>
        <w:t xml:space="preserve"> [18]. Additional files 1 and 2 contain the released supplementary workbook and machine-readable derived tables. Individual-level genotype, BAM, pseudobulk matrices and source archives governed by third-party licences are not redistributed; their source accessions and conditions are recorded in Supplementary Table S1.</w:t>
      </w:r>
    </w:p>
    <w:p>
      <w:pPr>
        <w:pStyle w:val="Heading2"/>
      </w:pPr>
      <w:r>
        <w:t>Competing interests</w:t>
      </w:r>
    </w:p>
    <w:p>
      <w:r>
        <w:t>The authors declare that they have no competing interests.</w:t>
      </w:r>
    </w:p>
    <w:p>
      <w:pPr>
        <w:pStyle w:val="Heading2"/>
      </w:pPr>
      <w:r>
        <w:t>Funding</w:t>
      </w:r>
    </w:p>
    <w:p>
      <w:r>
        <w:t>This research received no specific grant from any funding agency in the public, commercial or not-for-profit sectors. No funder had any role in study design, data analysis, interpretation, manuscript preparation or the decision to submit.</w:t>
      </w:r>
    </w:p>
    <w:p>
      <w:pPr>
        <w:pStyle w:val="Heading2"/>
      </w:pPr>
      <w:r>
        <w:t>Authors' contributions</w:t>
      </w:r>
    </w:p>
    <w:p>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 and approved the final manuscript.</w:t>
      </w:r>
    </w:p>
    <w:p>
      <w:pPr>
        <w:pStyle w:val="Heading2"/>
      </w:pPr>
      <w:r>
        <w:t>Acknowledgements</w:t>
      </w:r>
    </w:p>
    <w:p>
      <w:r>
        <w:t>Not applicable.</w:t>
      </w:r>
    </w:p>
    <w:p>
      <w:pPr>
        <w:pStyle w:val="Heading2"/>
      </w:pPr>
      <w:r>
        <w:t>Authors' information</w:t>
      </w:r>
    </w:p>
    <w:p>
      <w:r>
        <w:t>ZC is an MSc student in Bioinformatics at The Chinese University of Hong Kong, Shenzhen. His research focuses on multi-omics analysis and clinical cancer research, including integrative multi-omics approaches and the tumor microenvironment. He holds a BSc in Biomedical Sciences from Queen Mary University of London and an MB in Clinical Medicine from Nanchang University.</w:t>
      </w:r>
    </w:p>
    <w:p>
      <w:pPr>
        <w:pStyle w:val="Heading1"/>
      </w:pPr>
      <w:r>
        <w:t>References</w:t>
      </w:r>
    </w:p>
    <w:p>
      <w:r>
        <w:t xml:space="preserve">1. Gulamhusein AF, Hirschfield GM. Primary biliary cholangitis: pathogenesis and therapeutic opportunities. </w:t>
      </w:r>
      <w:r>
        <w:rPr>
          <w:i/>
        </w:rPr>
        <w:t>Nat Rev Gastroenterol Hepatol.</w:t>
      </w:r>
      <w:r>
        <w:t xml:space="preserve"> 2020;17:93-110. doi:10.1038/s41575-019-0226-7.</w:t>
      </w:r>
    </w:p>
    <w:p>
      <w:r>
        <w:t xml:space="preserve">2. Cordell HJ, Fryett JJ, Ueno K, et al. An international genome-wide meta-analysis of primary biliary cholangitis: novel risk loci and candidate drugs. </w:t>
      </w:r>
      <w:r>
        <w:rPr>
          <w:i/>
        </w:rPr>
        <w:t>J Hepatol.</w:t>
      </w:r>
      <w:r>
        <w:t xml:space="preserve"> 2021;75:572-581. doi:10.1016/j.jhep.2021.04.055.</w:t>
      </w:r>
    </w:p>
    <w:p>
      <w:r>
        <w:t xml:space="preserve">3. Yazar S, Alquicira-Hernandez J, Wing K, et al. Single-cell eQTL mapping identifies cell type-specific genetic control of autoimmune disease. </w:t>
      </w:r>
      <w:r>
        <w:rPr>
          <w:i/>
        </w:rPr>
        <w:t>Science.</w:t>
      </w:r>
      <w:r>
        <w:t xml:space="preserve"> 2022;376:eabf3041. doi:10.1126/science.abf3041.</w:t>
      </w:r>
    </w:p>
    <w:p>
      <w:r>
        <w:t xml:space="preserve">4. Cuomo ASE, Spenceley E, Tanudisastro HA, et al. Impact of rare and common genetic variation on cell type-specific gene expression in human blood. </w:t>
      </w:r>
      <w:r>
        <w:rPr>
          <w:i/>
        </w:rPr>
        <w:t>medRxiv.</w:t>
      </w:r>
      <w:r>
        <w:t xml:space="preserve"> 2025. doi:10.1101/2025.03.20.25324352. Dataset: Zenodo record 18221260.</w:t>
      </w:r>
    </w:p>
    <w:p>
      <w:r>
        <w:t xml:space="preserve">5. Giambartolomei C, Vukcevic D, Schadt EE, et al. Bayesian test for colocalisation between pairs of genetic association studies using summary statistics. </w:t>
      </w:r>
      <w:r>
        <w:rPr>
          <w:i/>
        </w:rPr>
        <w:t>PLoS Genet.</w:t>
      </w:r>
      <w:r>
        <w:t xml:space="preserve"> 2014;10:e1004383. doi:10.1371/journal.pgen.1004383.</w:t>
      </w:r>
    </w:p>
    <w:p>
      <w:r>
        <w:t xml:space="preserve">6. Wang G, Sarkar A, Carbonetto P, Stephens M. A simple new approach to variable selection in regression, with application to genetic fine mapping. </w:t>
      </w:r>
      <w:r>
        <w:rPr>
          <w:i/>
        </w:rPr>
        <w:t>J R Stat Soc Series B Stat Methodol.</w:t>
      </w:r>
      <w:r>
        <w:t xml:space="preserve"> 2020;82:1273-1300. doi:10.1111/rssb.12388.</w:t>
      </w:r>
    </w:p>
    <w:p>
      <w:r>
        <w:t xml:space="preserve">7. Wallace C. A more accurate method for colocalisation analysis allowing for multiple causal variants. </w:t>
      </w:r>
      <w:r>
        <w:rPr>
          <w:i/>
        </w:rPr>
        <w:t>PLoS Genet.</w:t>
      </w:r>
      <w:r>
        <w:t xml:space="preserve"> 2021;17:e1009440. doi:10.1371/journal.pgen.1009440.</w:t>
      </w:r>
    </w:p>
    <w:p>
      <w:r>
        <w:t>8. NHGRI-EBI GWAS Catalog. Study GCST90061440. https://www.ebi.ac.uk/gwas/studies/GCST90061440. Accessed 10 Oct 2026.</w:t>
      </w:r>
    </w:p>
    <w:p>
      <w:r>
        <w:t xml:space="preserve">9. Gjoka A, Cordell HJ. Fine-mapping the results from genome-wide association studies of primary biliary cholangitis using SuSiE and h2-D2. </w:t>
      </w:r>
      <w:r>
        <w:rPr>
          <w:i/>
        </w:rPr>
        <w:t>Genet Epidemiol.</w:t>
      </w:r>
      <w:r>
        <w:t xml:space="preserve"> 2025;49:e22592. doi:10.1002/gepi.22592.</w:t>
      </w:r>
    </w:p>
    <w:p>
      <w:r>
        <w:t>10. Cordell HJ, Gjoka A. PBC fine-mapping summary statistics and study-derived LD archive. https://www.staff.ncl.ac.uk/heather.cordell/GjokaPaper.html. Accessed 10 Oct 2026.</w:t>
      </w:r>
    </w:p>
    <w:p>
      <w:r>
        <w:t xml:space="preserve">11. Xue A, Yazar S, Alquicira-Hernández J, et al. Genetic variants associated with cell-type-specific intra-individual gene expression variability reveal mechanisms of genome regulation. </w:t>
      </w:r>
      <w:r>
        <w:rPr>
          <w:i/>
        </w:rPr>
        <w:t>Nat Commun.</w:t>
      </w:r>
      <w:r>
        <w:t xml:space="preserve"> 2026. Published online September 21, 2026. doi:10.1038/s41467-026-77453-9.</w:t>
      </w:r>
    </w:p>
    <w:p>
      <w:r>
        <w:t>12. Xue A, et al. OneK1K cell-specific cis-eQTL summary statistics, genotypes and covariates. Zenodo. 2026. https://doi.org/10.5281/zenodo.18910121.</w:t>
      </w:r>
    </w:p>
    <w:p>
      <w:r>
        <w:t xml:space="preserve">13. Zou Y, Carbonetto P, Wang G, Stephens M. Fine-mapping from summary data with the "Sum of Single Effects" model. </w:t>
      </w:r>
      <w:r>
        <w:rPr>
          <w:i/>
        </w:rPr>
        <w:t>PLoS Genet.</w:t>
      </w:r>
      <w:r>
        <w:t xml:space="preserve"> 2022;18(7):e1010299. doi:10.1371/journal.pgen.1010299.</w:t>
      </w:r>
    </w:p>
    <w:p>
      <w:r>
        <w:t>14. Cuomo ASE, et al. TenK10K phase 1 molecular-QTL and fine-mapping resources. Zenodo. 2026. https://doi.org/10.5281/zenodo.18221260.</w:t>
      </w:r>
    </w:p>
    <w:p>
      <w:r>
        <w:t xml:space="preserve">15. Kanai M, Delorey TM, Honkanen J, et al. Population-scale immune multiome atlas reveals regulatory disease mechanisms. </w:t>
      </w:r>
      <w:r>
        <w:rPr>
          <w:i/>
        </w:rPr>
        <w:t>Nature.</w:t>
      </w:r>
      <w:r>
        <w:t xml:space="preserve"> 2026. Published online September 30, 2026. doi:10.1038/s41586-026-11078-2.</w:t>
      </w:r>
    </w:p>
    <w:p>
      <w:r>
        <w:t xml:space="preserve">16. Jin C, Jiang P, Zhang Z, et al. Single-cell RNA sequencing reveals the pro-inflammatory roles of liver-resident Th1-like cells in primary biliary cholangitis. </w:t>
      </w:r>
      <w:r>
        <w:rPr>
          <w:i/>
        </w:rPr>
        <w:t>Nat Commun.</w:t>
      </w:r>
      <w:r>
        <w:t xml:space="preserve"> 2024;15:8690. doi:10.1038/s41467-024-53104-9.</w:t>
      </w:r>
    </w:p>
    <w:p>
      <w:r>
        <w:t>17. National Genomics Data Center. GSA-Human HRA008003. https://ngdc.cncb.ac.cn/gsa-human/browse/HRA008003. Accessed 10 Oct 2026.</w:t>
      </w:r>
    </w:p>
    <w:p>
      <w:r>
        <w:t>18. Open Regulatory Evidence Project. Analysis code, frozen protocols and aggregate results. GitHub. https://github.com/1209433622cz-maker/igan-open-regulatory-evidence. Accessed 10 Oct 2026.</w:t>
      </w:r>
    </w:p>
    <w:p>
      <w:r>
        <w:t xml:space="preserve">19. Wang Q, Yan H, Wang N, Yuan J. Causal genetics prioritizes therapeutic targets and blood signatures in primary biliary cholangitis. </w:t>
      </w:r>
      <w:r>
        <w:rPr>
          <w:i/>
        </w:rPr>
        <w:t>npj Syst Biol Appl.</w:t>
      </w:r>
      <w:r>
        <w:t xml:space="preserve"> 2026. doi:10.1038/s41540-026-00817-w.</w:t>
      </w:r>
    </w:p>
    <w:p>
      <w:r>
        <w:t xml:space="preserve">20. Lin Y, Xu X, Chen H, Tang H, Hua Y, Mei J. Genetic mechanisms of primary biliary cholangitis and its association with immune cells using Mendelian randomization and biological annotation. </w:t>
      </w:r>
      <w:r>
        <w:rPr>
          <w:i/>
        </w:rPr>
        <w:t>Medicine (Baltimore).</w:t>
      </w:r>
      <w:r>
        <w:t xml:space="preserve"> 2026;105(22):e49146. doi:10.1097/MD.0000000000049146.</w:t>
      </w:r>
    </w:p>
    <w:p>
      <w:r>
        <w:t xml:space="preserve">21. Han Z, Ran Y, Liu R, et al. FCRL3 as a potential link between Benzo[a]pyrene exposure and primary biliary cholangitis: insights from comparative toxicogenomics and multi-omics analysis. </w:t>
      </w:r>
      <w:r>
        <w:rPr>
          <w:i/>
        </w:rPr>
        <w:t>BMC Gastroenterol.</w:t>
      </w:r>
      <w:r>
        <w:t xml:space="preserve"> 2026;26:101. doi:10.1186/s12876-026-04614-x.</w:t>
      </w:r>
    </w:p>
    <w:p>
      <w:r>
        <w:t xml:space="preserve">22. Xi J, Wang S, Chen J, et al. Exploration and discovery of treatment targets for primary biliary cholangitis based on plasma and cerebrospinal fluid proteomics: a multicenter Mendelian randomization study. </w:t>
      </w:r>
      <w:r>
        <w:rPr>
          <w:i/>
        </w:rPr>
        <w:t>PLoS One.</w:t>
      </w:r>
      <w:r>
        <w:t xml:space="preserve"> 2026;21(2):e0340166. doi:10.1371/journal.pone.0340166.</w:t>
      </w:r>
    </w:p>
    <w:p>
      <w:r>
        <w:br w:type="page"/>
      </w:r>
    </w:p>
    <w:p>
      <w:pPr>
        <w:pStyle w:val="Heading1"/>
      </w:pPr>
      <w:r>
        <w:t>Figure legends</w:t>
      </w:r>
    </w:p>
    <w:p>
      <w:pPr>
        <w:ind w:firstLine="0"/>
        <w:jc w:val="center"/>
      </w:pPr>
      <w:r>
        <w:drawing>
          <wp:inline xmlns:a="http://schemas.openxmlformats.org/drawingml/2006/main" xmlns:pic="http://schemas.openxmlformats.org/drawingml/2006/picture">
            <wp:extent cx="5897880" cy="4083872"/>
            <wp:docPr id="1" name="Picture 1"/>
            <wp:cNvGraphicFramePr>
              <a:graphicFrameLocks noChangeAspect="1"/>
            </wp:cNvGraphicFramePr>
            <a:graphic>
              <a:graphicData uri="http://schemas.openxmlformats.org/drawingml/2006/picture">
                <pic:pic>
                  <pic:nvPicPr>
                    <pic:cNvPr id="0" name="Figure1_study_scope_and_model_integrity.png"/>
                    <pic:cNvPicPr/>
                  </pic:nvPicPr>
                  <pic:blipFill>
                    <a:blip r:embed="rId10"/>
                    <a:stretch>
                      <a:fillRect/>
                    </a:stretch>
                  </pic:blipFill>
                  <pic:spPr>
                    <a:xfrm>
                      <a:off x="0" y="0"/>
                      <a:ext cx="5897880" cy="4083872"/>
                    </a:xfrm>
                    <a:prstGeom prst="rect"/>
                  </pic:spPr>
                </pic:pic>
              </a:graphicData>
            </a:graphic>
          </wp:inline>
        </w:drawing>
      </w:r>
    </w:p>
    <w:p>
      <w:pPr>
        <w:pStyle w:val="FigureCaption"/>
      </w:pPr>
      <w:r>
        <w:rPr>
          <w:b/>
        </w:rPr>
        <w:t>Figure 1. Study scope, bounded follow-up and model-integrity gates.</w:t>
      </w:r>
      <w:r>
        <w:t xml:space="preserve"> (A) Flow from the 6,923-comparison PBC-wide registry to 5,460 ABF-eligible comparisons and the frozen 642-comparison multi-signal subset. (B) Prespecified roles within the subset. (C) Final PF10 multi-signal comparison states. (D) The earlier targeted current-release identity gate (14 comparison-model rows across seven comparisons) and the expanded corrected kriging diagnostic closure (2,568 comparison-model-trait units). These denominators describe different audit tasks, not the number of cell types. The official-rule event was reviewed and did not enter a credible set.</w:t>
      </w:r>
    </w:p>
    <w:p>
      <w:pPr>
        <w:pStyle w:val="FigureCaption"/>
      </w:pPr>
      <w:r>
        <w:rPr>
          <w:b/>
        </w:rPr>
        <w:t>Abbreviations:</w:t>
      </w:r>
      <w:r>
        <w:t xml:space="preserve"> ABF, approximate Bayes factor; CS, credible set; H3, distinct-signal-pair support; H4, shared-signal-pair support; PF10, model using ten expression factors.</w:t>
      </w:r>
    </w:p>
    <w:p>
      <w:r>
        <w:br w:type="page"/>
      </w:r>
    </w:p>
    <w:p>
      <w:pPr>
        <w:ind w:firstLine="0"/>
        <w:jc w:val="center"/>
      </w:pPr>
      <w:r>
        <w:drawing>
          <wp:inline xmlns:a="http://schemas.openxmlformats.org/drawingml/2006/main" xmlns:pic="http://schemas.openxmlformats.org/drawingml/2006/picture">
            <wp:extent cx="5897880" cy="3526883"/>
            <wp:docPr id="2" name="Picture 2"/>
            <wp:cNvGraphicFramePr>
              <a:graphicFrameLocks noChangeAspect="1"/>
            </wp:cNvGraphicFramePr>
            <a:graphic>
              <a:graphicData uri="http://schemas.openxmlformats.org/drawingml/2006/picture">
                <pic:pic>
                  <pic:nvPicPr>
                    <pic:cNvPr id="0" name="Figure2_input_matched_reclassification.png"/>
                    <pic:cNvPicPr/>
                  </pic:nvPicPr>
                  <pic:blipFill>
                    <a:blip r:embed="rId11"/>
                    <a:stretch>
                      <a:fillRect/>
                    </a:stretch>
                  </pic:blipFill>
                  <pic:spPr>
                    <a:xfrm>
                      <a:off x="0" y="0"/>
                      <a:ext cx="5897880" cy="3526883"/>
                    </a:xfrm>
                    <a:prstGeom prst="rect"/>
                  </pic:spPr>
                </pic:pic>
              </a:graphicData>
            </a:graphic>
          </wp:inline>
        </w:drawing>
      </w:r>
    </w:p>
    <w:p>
      <w:pPr>
        <w:pStyle w:val="FigureCaption"/>
      </w:pPr>
      <w:r>
        <w:rPr>
          <w:b/>
        </w:rPr>
        <w:t>Figure 2. Matched inputs explain part, but not all, of bidirectional reclassification.</w:t>
      </w:r>
      <w:r>
        <w:t xml:space="preserve"> (A) Variants removed when the historical ABF support was restricted to the actual multi-signal intersection. (B) Categorical changes for adjacent A0/A1/A2/M arms; these counts are not additive. (C) Full matched-input A2-to-M transition matrix. (D) Correct H4 and H3 denominators after input matching. (E) PF10/PF50 sensitivity among 520 comparisons with definite PF10 H4/H3 states. (F) Stable signal-pair semantics: 60 stable-H4 comparisons had no qualifying H3 pair under the frozen thresholds, whereas 32 contained qualifying shared and distinct pairs.</w:t>
      </w:r>
    </w:p>
    <w:p>
      <w:pPr>
        <w:pStyle w:val="FigureCaption"/>
      </w:pPr>
      <w:r>
        <w:rPr>
          <w:b/>
        </w:rPr>
        <w:t>Abbreviations:</w:t>
      </w:r>
      <w:r>
        <w:t xml:space="preserve"> A0, historical ABF; A1, support-matched ABF; A2, support- and disease-statistic-matched ABF; M, frozen multi-signal result.</w:t>
      </w:r>
    </w:p>
    <w:p>
      <w:r>
        <w:br w:type="page"/>
      </w:r>
    </w:p>
    <w:p>
      <w:pPr>
        <w:ind w:firstLine="0"/>
        <w:jc w:val="center"/>
      </w:pPr>
      <w:r>
        <w:drawing>
          <wp:inline xmlns:a="http://schemas.openxmlformats.org/drawingml/2006/main" xmlns:pic="http://schemas.openxmlformats.org/drawingml/2006/picture">
            <wp:extent cx="5897880" cy="4115295"/>
            <wp:docPr id="3" name="Picture 3"/>
            <wp:cNvGraphicFramePr>
              <a:graphicFrameLocks noChangeAspect="1"/>
            </wp:cNvGraphicFramePr>
            <a:graphic>
              <a:graphicData uri="http://schemas.openxmlformats.org/drawingml/2006/picture">
                <pic:pic>
                  <pic:nvPicPr>
                    <pic:cNvPr id="0" name="Figure3_simulation_discovery_and_inference.png"/>
                    <pic:cNvPicPr/>
                  </pic:nvPicPr>
                  <pic:blipFill>
                    <a:blip r:embed="rId12"/>
                    <a:stretch>
                      <a:fillRect/>
                    </a:stretch>
                  </pic:blipFill>
                  <pic:spPr>
                    <a:xfrm>
                      <a:off x="0" y="0"/>
                      <a:ext cx="5897880" cy="4115295"/>
                    </a:xfrm>
                    <a:prstGeom prst="rect"/>
                  </pic:spPr>
                </pic:pic>
              </a:graphicData>
            </a:graphic>
          </wp:inline>
        </w:drawing>
      </w:r>
    </w:p>
    <w:p>
      <w:pPr>
        <w:pStyle w:val="FigureCaption"/>
      </w:pPr>
      <w:r>
        <w:rPr>
          <w:b/>
        </w:rPr>
        <w:t>Figure 3. Simulation separates credible-set discovery from pair-conditional inference.</w:t>
      </w:r>
      <w:r>
        <w:t xml:space="preserve"> (A) Primary multi-signal outcome channels by scenario. (B) Pair-evaluable, unconditional H4 and pair-conditional H4 rates. (C) Unconditional ABF and matched multi-signal H4 rates; S2 and S5 are distinct-signal scenarios. (D) Aggregate discovery channels. The primary branch had no recorded technical errors and no both-CS/no-pair events.</w:t>
      </w:r>
    </w:p>
    <w:p>
      <w:pPr>
        <w:pStyle w:val="FigureCaption"/>
      </w:pPr>
      <w:r>
        <w:rPr>
          <w:b/>
        </w:rPr>
        <w:t>Abbreviations:</w:t>
      </w:r>
      <w:r>
        <w:t xml:space="preserve"> CS, credible set; S1, one shared signal; S2, correlated distinct signals; S3, two disease signals and one QTL signal with partial sharing; S4, two signals per trait with one shared pair; S5, two signals per trait with no shared pair under high LD; S6, matched-versus-mismatched LD sensitivity.</w:t>
      </w:r>
    </w:p>
    <w:p>
      <w:r>
        <w:br w:type="page"/>
      </w:r>
    </w:p>
    <w:p>
      <w:pPr>
        <w:ind w:firstLine="0"/>
        <w:jc w:val="center"/>
      </w:pPr>
      <w:r>
        <w:drawing>
          <wp:inline xmlns:a="http://schemas.openxmlformats.org/drawingml/2006/main" xmlns:pic="http://schemas.openxmlformats.org/drawingml/2006/picture">
            <wp:extent cx="5897880" cy="4163446"/>
            <wp:docPr id="4" name="Picture 4"/>
            <wp:cNvGraphicFramePr>
              <a:graphicFrameLocks noChangeAspect="1"/>
            </wp:cNvGraphicFramePr>
            <a:graphic>
              <a:graphicData uri="http://schemas.openxmlformats.org/drawingml/2006/picture">
                <pic:pic>
                  <pic:nvPicPr>
                    <pic:cNvPr id="0" name="Figure4_IL12RB2_external_evidence.png"/>
                    <pic:cNvPicPr/>
                  </pic:nvPicPr>
                  <pic:blipFill>
                    <a:blip r:embed="rId13"/>
                    <a:stretch>
                      <a:fillRect/>
                    </a:stretch>
                  </pic:blipFill>
                  <pic:spPr>
                    <a:xfrm>
                      <a:off x="0" y="0"/>
                      <a:ext cx="5897880" cy="4163446"/>
                    </a:xfrm>
                    <a:prstGeom prst="rect"/>
                  </pic:spPr>
                </pic:pic>
              </a:graphicData>
            </a:graphic>
          </wp:inline>
        </w:drawing>
      </w:r>
    </w:p>
    <w:p>
      <w:pPr>
        <w:pStyle w:val="FigureCaption"/>
      </w:pPr>
      <w:r>
        <w:rPr>
          <w:b/>
        </w:rPr>
        <w:t>Figure 4. IL12RB2-NK is supported across molecular-QTL resources within bounded causal claims.</w:t>
      </w:r>
      <w:r>
        <w:t xml:space="preserve"> (A) OneK1K best signal-pair PP.H4 across PF10/PF50 and L configurations. (B) FinnGen PBC-IL12RB2 molecular-QTL records. (C) Direction of the PBC risk allele across OneK1K, TenK10K and FinnGen. (D) Separate measured associations and positional chromatin evidence. The eQTL anchor is not a member of the linked peak caQTL credible set, and PBC-caQTL colocalization has not been established. These unestablished relationships are not depicted as causal connections; the evidence map does not assert a complete causal cascade.</w:t>
      </w:r>
    </w:p>
    <w:p>
      <w:pPr>
        <w:pStyle w:val="FigureCaption"/>
      </w:pPr>
      <w:r>
        <w:rPr>
          <w:b/>
        </w:rPr>
        <w:t>Abbreviations:</w:t>
      </w:r>
      <w:r>
        <w:t xml:space="preserve"> caQTL, chromatin-accessibility quantitative-trait locus; eQTL, expression quantitative-trait locus; L, maximum SuSiE effects; PF, expression-factor model.</w:t>
      </w:r>
    </w:p>
    <w:p>
      <w:r>
        <w:br w:type="page"/>
      </w:r>
    </w:p>
    <w:p>
      <w:pPr>
        <w:ind w:firstLine="0"/>
        <w:jc w:val="center"/>
      </w:pPr>
      <w:r>
        <w:drawing>
          <wp:inline xmlns:a="http://schemas.openxmlformats.org/drawingml/2006/main" xmlns:pic="http://schemas.openxmlformats.org/drawingml/2006/picture">
            <wp:extent cx="5897880" cy="4091842"/>
            <wp:docPr id="5" name="Picture 5"/>
            <wp:cNvGraphicFramePr>
              <a:graphicFrameLocks noChangeAspect="1"/>
            </wp:cNvGraphicFramePr>
            <a:graphic>
              <a:graphicData uri="http://schemas.openxmlformats.org/drawingml/2006/picture">
                <pic:pic>
                  <pic:nvPicPr>
                    <pic:cNvPr id="0" name="Figure5_FCRL3_support_and_counterexample.png"/>
                    <pic:cNvPicPr/>
                  </pic:nvPicPr>
                  <pic:blipFill>
                    <a:blip r:embed="rId14"/>
                    <a:stretch>
                      <a:fillRect/>
                    </a:stretch>
                  </pic:blipFill>
                  <pic:spPr>
                    <a:xfrm>
                      <a:off x="0" y="0"/>
                      <a:ext cx="5897880" cy="4091842"/>
                    </a:xfrm>
                    <a:prstGeom prst="rect"/>
                  </pic:spPr>
                </pic:pic>
              </a:graphicData>
            </a:graphic>
          </wp:inline>
        </w:drawing>
      </w:r>
    </w:p>
    <w:p>
      <w:pPr>
        <w:pStyle w:val="FigureCaption"/>
      </w:pPr>
      <w:r>
        <w:rPr>
          <w:b/>
        </w:rPr>
        <w:t>Figure 5. FCRL3 combines reproducible B-cell sharing with a T-cell model-sensitivity counterexample.</w:t>
      </w:r>
      <w:r>
        <w:t xml:space="preserve"> (A) OneK1K PF10 best signal-pair PP.H4 for representative cells. (B) Cross-QTL-resource B-cell support. (C) FCRL3-CD8_ET across matched-input ABF arms and PF10/PF50 multi-signal configurations. A0, A1 and A2 use their own unrounded source values (PP.H4=0.9413346827, 0.9413349988 and 0.9492605462); their common H4 classification does not imply identical posterior values. (D) Claim boundary for direction and FinnGen coverage.</w:t>
      </w:r>
    </w:p>
    <w:p>
      <w:pPr>
        <w:pStyle w:val="FigureCaption"/>
      </w:pPr>
      <w:r>
        <w:rPr>
          <w:b/>
        </w:rPr>
        <w:t>Abbreviations:</w:t>
      </w:r>
      <w:r>
        <w:t xml:space="preserve"> B_IN, intermediate B cell; B_MEM, memory B cell; CD8_ET, effector CD8 T cell.</w:t>
      </w:r>
    </w:p>
    <w:p>
      <w:r>
        <w:br w:type="page"/>
      </w:r>
    </w:p>
    <w:p>
      <w:pPr>
        <w:ind w:firstLine="0"/>
        <w:jc w:val="center"/>
      </w:pPr>
      <w:r>
        <w:drawing>
          <wp:inline xmlns:a="http://schemas.openxmlformats.org/drawingml/2006/main" xmlns:pic="http://schemas.openxmlformats.org/drawingml/2006/picture">
            <wp:extent cx="5897880" cy="2100441"/>
            <wp:docPr id="6" name="Picture 6"/>
            <wp:cNvGraphicFramePr>
              <a:graphicFrameLocks noChangeAspect="1"/>
            </wp:cNvGraphicFramePr>
            <a:graphic>
              <a:graphicData uri="http://schemas.openxmlformats.org/drawingml/2006/picture">
                <pic:pic>
                  <pic:nvPicPr>
                    <pic:cNvPr id="0" name="Figure6_liver_tissue_boundary.png"/>
                    <pic:cNvPicPr/>
                  </pic:nvPicPr>
                  <pic:blipFill>
                    <a:blip r:embed="rId15"/>
                    <a:stretch>
                      <a:fillRect/>
                    </a:stretch>
                  </pic:blipFill>
                  <pic:spPr>
                    <a:xfrm>
                      <a:off x="0" y="0"/>
                      <a:ext cx="5897880" cy="2100441"/>
                    </a:xfrm>
                    <a:prstGeom prst="rect"/>
                  </pic:spPr>
                </pic:pic>
              </a:graphicData>
            </a:graphic>
          </wp:inline>
        </w:drawing>
      </w:r>
    </w:p>
    <w:p>
      <w:pPr>
        <w:pStyle w:val="FigureCaption"/>
      </w:pPr>
      <w:r>
        <w:rPr>
          <w:b/>
        </w:rPr>
        <w:t>Figure 6. Liver data localize target-lineage expression but do not show corrected disease enrichment.</w:t>
      </w:r>
      <w:r>
        <w:t xml:space="preserve"> (A) Donor-level FCRL3 B-lineage log1p CPM. (B) Donor-level IL12RB2 NK-lineage log1p CPM. Points are donors; boxes summarize the five donors per group. (C) Tissue evidence ceiling. Exact P values used all 252 possible 5-versus-5 label assignments, followed by BH correction across two targets.</w:t>
      </w:r>
    </w:p>
    <w:p>
      <w:pPr>
        <w:pStyle w:val="FigureCaption"/>
      </w:pPr>
      <w:r>
        <w:rPr>
          <w:b/>
        </w:rPr>
        <w:t>Abbreviations:</w:t>
      </w:r>
      <w:r>
        <w:t xml:space="preserve"> BH, Benjamini-Hochberg; CPM, counts per million; PBC, primary biliary cholangitis.</w:t>
      </w:r>
    </w:p>
    <w:p>
      <w:pPr>
        <w:pStyle w:val="Heading1"/>
      </w:pPr>
      <w:r>
        <w:t>Additional files</w:t>
      </w:r>
    </w:p>
    <w:p>
      <w:r>
        <w:rPr>
          <w:b/>
        </w:rPr>
        <w:t>Additional file 1.</w:t>
      </w:r>
      <w:r>
        <w:t xml:space="preserve"> </w:t>
      </w:r>
      <w:r>
        <w:rPr>
          <w:rFonts w:ascii="Courier New" w:hAnsi="Courier New"/>
          <w:sz w:val="18"/>
        </w:rPr>
        <w:t>Additional_file_1_Supplementary_Tables_S1-S10.xlsx</w:t>
      </w:r>
      <w:r>
        <w:t xml:space="preserve"> (Microsoft Excel workbook). Editable reading interface for Supplementary Tables S1-S10.</w:t>
      </w:r>
    </w:p>
    <w:p>
      <w:r>
        <w:rPr>
          <w:b/>
        </w:rPr>
        <w:t>Additional file 2.</w:t>
      </w:r>
      <w:r>
        <w:t xml:space="preserve"> </w:t>
      </w:r>
      <w:r>
        <w:rPr>
          <w:rFonts w:ascii="Courier New" w:hAnsi="Courier New"/>
          <w:sz w:val="18"/>
        </w:rPr>
        <w:t>Additional_file_2_Machine_Readable_Supplementary_Data.zip</w:t>
      </w:r>
      <w:r>
        <w:t xml:space="preserve"> (ZIP archive). Machine-readable TSV, TSV.GZ and JSON source/derived tables, plus a file-level SHA-256 manifest and README. The archive excludes individual-level genotype, BAM, pseudobulk matrices and licensed source archives.</w:t>
      </w:r>
    </w:p>
    <w:p>
      <w:r>
        <w:t>The two files contain the following prespecified supplementary modules:</w:t>
      </w:r>
    </w:p>
    <w:p>
      <w:r>
        <w:rPr>
          <w:b/>
        </w:rPr>
        <w:t>Supplementary Table S1.</w:t>
      </w:r>
      <w:r>
        <w:t xml:space="preserve"> Data sources, versions, accessions, checksums and redistribution status. Delivered in </w:t>
      </w:r>
      <w:r>
        <w:rPr>
          <w:rFonts w:ascii="Courier New" w:hAnsi="Courier New"/>
          <w:sz w:val="18"/>
        </w:rPr>
        <w:t>R7B3A_Supplementary_Tables_S1-S10.xlsx</w:t>
      </w:r>
      <w:r>
        <w:t xml:space="preserve"> and </w:t>
      </w:r>
      <w:r>
        <w:rPr>
          <w:rFonts w:ascii="Courier New" w:hAnsi="Courier New"/>
          <w:sz w:val="18"/>
        </w:rPr>
        <w:t>supplements/S1/</w:t>
      </w:r>
      <w:r>
        <w:t>.</w:t>
      </w:r>
    </w:p>
    <w:p>
      <w:r>
        <w:rPr>
          <w:b/>
        </w:rPr>
        <w:t>Supplementary Table S2.</w:t>
      </w:r>
      <w:r>
        <w:t xml:space="preserve"> Complete 6,923-comparison screening registry and 5,460 ABF-eligible subset. Delivered as a compressed machine-readable registry and workbook view in </w:t>
      </w:r>
      <w:r>
        <w:rPr>
          <w:rFonts w:ascii="Courier New" w:hAnsi="Courier New"/>
          <w:sz w:val="18"/>
        </w:rPr>
        <w:t>supplements/S2/</w:t>
      </w:r>
      <w:r>
        <w:t>.</w:t>
      </w:r>
    </w:p>
    <w:p>
      <w:r>
        <w:rPr>
          <w:b/>
        </w:rPr>
        <w:t>Supplementary Table S3.</w:t>
      </w:r>
      <w:r>
        <w:t xml:space="preserve"> Frozen 642-comparison roles, A0/A1/A2/M trajectories and categorical states. Delivered in </w:t>
      </w:r>
      <w:r>
        <w:rPr>
          <w:rFonts w:ascii="Courier New" w:hAnsi="Courier New"/>
          <w:sz w:val="18"/>
        </w:rPr>
        <w:t>supplements/S3/</w:t>
      </w:r>
      <w:r>
        <w:t>.</w:t>
      </w:r>
    </w:p>
    <w:p>
      <w:r>
        <w:rPr>
          <w:b/>
        </w:rPr>
        <w:t>Supplementary Table S4.</w:t>
      </w:r>
      <w:r>
        <w:t xml:space="preserve"> Support-set member and identity audit, including removed-variant counts and hashes. Delivered in </w:t>
      </w:r>
      <w:r>
        <w:rPr>
          <w:rFonts w:ascii="Courier New" w:hAnsi="Courier New"/>
          <w:sz w:val="18"/>
        </w:rPr>
        <w:t>supplements/S4/</w:t>
      </w:r>
      <w:r>
        <w:t>.</w:t>
      </w:r>
    </w:p>
    <w:p>
      <w:r>
        <w:rPr>
          <w:b/>
        </w:rPr>
        <w:t>Supplementary Table S5.</w:t>
      </w:r>
      <w:r>
        <w:t xml:space="preserve"> Source-matched PF10/PF50 LD and SuSiE quality-control metrics. Delivered in </w:t>
      </w:r>
      <w:r>
        <w:rPr>
          <w:rFonts w:ascii="Courier New" w:hAnsi="Courier New"/>
          <w:sz w:val="18"/>
        </w:rPr>
        <w:t>supplements/S5/</w:t>
      </w:r>
      <w:r>
        <w:t>.</w:t>
      </w:r>
    </w:p>
    <w:p>
      <w:r>
        <w:rPr>
          <w:b/>
        </w:rPr>
        <w:t>Supplementary Table S6.</w:t>
      </w:r>
      <w:r>
        <w:t xml:space="preserve"> Signal-pair posterior results, cross-L identity and mixed H4/H3 semantics. Delivered in </w:t>
      </w:r>
      <w:r>
        <w:rPr>
          <w:rFonts w:ascii="Courier New" w:hAnsi="Courier New"/>
          <w:sz w:val="18"/>
        </w:rPr>
        <w:t>supplements/S6/</w:t>
      </w:r>
      <w:r>
        <w:t>.</w:t>
      </w:r>
    </w:p>
    <w:p>
      <w:r>
        <w:rPr>
          <w:b/>
        </w:rPr>
        <w:t>Supplementary Table S7.</w:t>
      </w:r>
      <w:r>
        <w:t xml:space="preserve"> Simulation parameter grid, iteration-level channel definitions and scenario summaries, including the compressed 486,000-row channel audit. Delivered in </w:t>
      </w:r>
      <w:r>
        <w:rPr>
          <w:rFonts w:ascii="Courier New" w:hAnsi="Courier New"/>
          <w:sz w:val="18"/>
        </w:rPr>
        <w:t>supplements/S7/</w:t>
      </w:r>
      <w:r>
        <w:t>.</w:t>
      </w:r>
    </w:p>
    <w:p>
      <w:r>
        <w:rPr>
          <w:b/>
        </w:rPr>
        <w:t>Supplementary Table S8.</w:t>
      </w:r>
      <w:r>
        <w:t xml:space="preserve"> TenK10K and FinnGen external molecular-QTL records and allele-direction mappings. Delivered in </w:t>
      </w:r>
      <w:r>
        <w:rPr>
          <w:rFonts w:ascii="Courier New" w:hAnsi="Courier New"/>
          <w:sz w:val="18"/>
        </w:rPr>
        <w:t>supplements/S8/</w:t>
      </w:r>
      <w:r>
        <w:t>.</w:t>
      </w:r>
    </w:p>
    <w:p>
      <w:r>
        <w:rPr>
          <w:b/>
        </w:rPr>
        <w:t>Supplementary Table S9.</w:t>
      </w:r>
      <w:r>
        <w:t xml:space="preserve"> Donor-level liver target-panel metrics, exact tests and sensitivity analyses. Delivered in </w:t>
      </w:r>
      <w:r>
        <w:rPr>
          <w:rFonts w:ascii="Courier New" w:hAnsi="Courier New"/>
          <w:sz w:val="18"/>
        </w:rPr>
        <w:t>supplements/S9/</w:t>
      </w:r>
      <w:r>
        <w:t>.</w:t>
      </w:r>
    </w:p>
    <w:p>
      <w:r>
        <w:rPr>
          <w:b/>
        </w:rPr>
        <w:t>Supplementary Table S10.</w:t>
      </w:r>
      <w:r>
        <w:t xml:space="preserve"> Claim-evidence ledger and Methods-Results mirror. Delivered in </w:t>
      </w:r>
      <w:r>
        <w:rPr>
          <w:rFonts w:ascii="Courier New" w:hAnsi="Courier New"/>
          <w:sz w:val="18"/>
        </w:rPr>
        <w:t>supplements/S10/</w:t>
      </w:r>
      <w:r>
        <w:t>.</w:t>
      </w:r>
    </w:p>
    <w:sectPr w:rsidR="00FC693F" w:rsidRPr="0006063C" w:rsidSect="00034616">
      <w:footerReference w:type="default" r:id="rId9"/>
      <w:pgSz w:w="11906" w:h="16838"/>
      <w:pgMar w:top="1247" w:right="1247" w:bottom="1247" w:left="1417" w:header="567" w:footer="567"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ind w:firstLine="4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2" w:lineRule="auto" w:before="0"/>
      <w:contextualSpacing/>
    </w:pPr>
    <w:rPr>
      <w:rFonts w:asciiTheme="majorHAnsi" w:eastAsiaTheme="majorEastAsia" w:hAnsiTheme="majorHAnsi" w:cstheme="majorBidi" w:ascii="Arial" w:hAnsi="Arial" w:eastAsia="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Input-matched multi-signal colocalization clarifies immune-cell regulatory assignments at primary biliary cholangitis risk loci</dc:title>
  <dc:subject>Human Genomics Research submission candidate pending author declarations</dc:subject>
  <dc:creator>Zhi Chen; Teng Qi</dc:creator>
  <cp:keywords>PBC; colocalization; eQTL; SuSiE; source-matched LD; multi-signal</cp:keywords>
  <dc:description>generated by python-docx</dc:description>
  <cp:lastModifiedBy/>
  <cp:revision>1</cp:revision>
  <dcterms:created xsi:type="dcterms:W3CDTF">2013-12-23T23:15:00Z</dcterms:created>
  <dcterms:modified xsi:type="dcterms:W3CDTF">2013-12-23T23:15:00Z</dcterms:modified>
  <cp:category/>
</cp:coreProperties>
</file>