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="0"/>
        <w:jc w:val="center"/>
      </w:pPr>
      <w:r>
        <w:t>Supplementary Information and source data guide</w:t>
      </w:r>
    </w:p>
    <w:p>
      <w:r>
        <w:rPr>
          <w:b/>
        </w:rPr>
        <w:t>Article:</w:t>
      </w:r>
      <w:r>
        <w:t xml:space="preserve"> Input matched multisignal colocalization clarifies regulatory assignments at primary biliary cholangitis loci</w:t>
      </w:r>
    </w:p>
    <w:p>
      <w:r>
        <w:rPr>
          <w:b/>
        </w:rPr>
        <w:t>Authors:</w:t>
      </w:r>
      <w:r>
        <w:t xml:space="preserve"> Zhi Chen and Teng Qi</w:t>
      </w:r>
    </w:p>
    <w:p>
      <w:r>
        <w:t>This guide defines the supplementary upload set and the evidentiary role of every file. Machine-readable source data are supplied separately so that large tables remain reusable rather than being rasterized into a PDF.</w:t>
      </w:r>
    </w:p>
    <w:p>
      <w:pPr>
        <w:pStyle w:val="Heading1"/>
      </w:pPr>
      <w:r>
        <w:t>Supplementary upload set</w:t>
      </w:r>
    </w:p>
    <w:p>
      <w:pPr>
        <w:pStyle w:val="ListBullet"/>
        <w:ind w:firstLine="0"/>
      </w:pPr>
      <w:r>
        <w:rPr>
          <w:b/>
        </w:rPr>
        <w:t>Supplementary Data 1:</w:t>
      </w:r>
      <w:r>
        <w:t xml:space="preserve"> </w:t>
      </w:r>
      <w:r>
        <w:rPr>
          <w:rFonts w:ascii="Courier New" w:hAnsi="Courier New"/>
          <w:sz w:val="18"/>
        </w:rPr>
        <w:t>Supplementary_Data_1_Tables_S1-S10.xlsx</w:t>
      </w:r>
      <w:r>
        <w:t xml:space="preserve"> contains the editable reading interface for Supplementary Tables S1-S10.</w:t>
      </w:r>
    </w:p>
    <w:p>
      <w:pPr>
        <w:pStyle w:val="ListBullet"/>
        <w:ind w:firstLine="0"/>
      </w:pPr>
      <w:r>
        <w:rPr>
          <w:b/>
        </w:rPr>
        <w:t>Source Data 1:</w:t>
      </w:r>
      <w:r>
        <w:t xml:space="preserve"> </w:t>
      </w:r>
      <w:r>
        <w:rPr>
          <w:rFonts w:ascii="Courier New" w:hAnsi="Courier New"/>
          <w:sz w:val="18"/>
        </w:rPr>
        <w:t>Source_Data_1_Primary_Machine_Readable_Data.zip</w:t>
      </w:r>
      <w:r>
        <w:t xml:space="preserve"> contains primary machine-readable TSV, TSV.GZ and JSON tables, a README and SHA-256 manifest.</w:t>
      </w:r>
    </w:p>
    <w:p>
      <w:pPr>
        <w:pStyle w:val="ListBullet"/>
        <w:ind w:firstLine="0"/>
      </w:pPr>
      <w:r>
        <w:rPr>
          <w:b/>
        </w:rPr>
        <w:t>Source Data 2:</w:t>
      </w:r>
      <w:r>
        <w:t xml:space="preserve"> </w:t>
      </w:r>
      <w:r>
        <w:rPr>
          <w:rFonts w:ascii="Courier New" w:hAnsi="Courier New"/>
          <w:sz w:val="18"/>
        </w:rPr>
        <w:t>Source_Data_2_External_Validation_Data.zip</w:t>
      </w:r>
      <w:r>
        <w:t xml:space="preserve"> contains FinnGen disease credible-set, FinnGen R13 x OneK1K, CASCADE, chromatin-triangle, OMIX boundary and source-ledger tables with an internal SHA-256 manifest.</w:t>
      </w:r>
    </w:p>
    <w:p>
      <w:pPr>
        <w:pStyle w:val="Heading1"/>
      </w:pPr>
      <w:r>
        <w:t>Supplementary table map</w:t>
      </w:r>
    </w:p>
    <w:p>
      <w:pPr>
        <w:pStyle w:val="Heading2"/>
      </w:pPr>
      <w:r>
        <w:t>Supplementary Table S1</w:t>
      </w:r>
    </w:p>
    <w:p>
      <w:r>
        <w:t>Data sources, versions, accessions, checksums and redistribution status.</w:t>
      </w:r>
    </w:p>
    <w:p>
      <w:pPr>
        <w:pStyle w:val="Heading2"/>
      </w:pPr>
      <w:r>
        <w:t>Supplementary Table S2</w:t>
      </w:r>
    </w:p>
    <w:p>
      <w:r>
        <w:t>Complete 6,923-comparison screening registry and the 5,460 ABF-eligible subset.</w:t>
      </w:r>
    </w:p>
    <w:p>
      <w:pPr>
        <w:pStyle w:val="Heading2"/>
      </w:pPr>
      <w:r>
        <w:t>Supplementary Table S3</w:t>
      </w:r>
    </w:p>
    <w:p>
      <w:r>
        <w:t>Frozen 642-comparison roles, A0/A1/A2/M trajectories and categorical states.</w:t>
      </w:r>
    </w:p>
    <w:p>
      <w:pPr>
        <w:pStyle w:val="Heading2"/>
      </w:pPr>
      <w:r>
        <w:t>Supplementary Table S4</w:t>
      </w:r>
    </w:p>
    <w:p>
      <w:r>
        <w:t>Support-set membership and identity audit, including removed-variant counts and hashes.</w:t>
      </w:r>
    </w:p>
    <w:p>
      <w:pPr>
        <w:pStyle w:val="Heading2"/>
      </w:pPr>
      <w:r>
        <w:t>Supplementary Table S5</w:t>
      </w:r>
    </w:p>
    <w:p>
      <w:r>
        <w:t>Source-matched PF10/PF50 LD and SuSiE quality-control metrics.</w:t>
      </w:r>
    </w:p>
    <w:p>
      <w:pPr>
        <w:pStyle w:val="Heading2"/>
      </w:pPr>
      <w:r>
        <w:t>Supplementary Table S6</w:t>
      </w:r>
    </w:p>
    <w:p>
      <w:r>
        <w:t>Signal-pair posterior results, cross-L identity and mixed H4/H3 semantics.</w:t>
      </w:r>
    </w:p>
    <w:p>
      <w:pPr>
        <w:pStyle w:val="Heading2"/>
      </w:pPr>
      <w:r>
        <w:t>Supplementary Table S7</w:t>
      </w:r>
    </w:p>
    <w:p>
      <w:r>
        <w:t>Simulation grid, iteration-level outcome channels and scenario summaries, including the compressed 486,000-row audit.</w:t>
      </w:r>
    </w:p>
    <w:p>
      <w:pPr>
        <w:pStyle w:val="Heading2"/>
      </w:pPr>
      <w:r>
        <w:t>Supplementary Table S8</w:t>
      </w:r>
    </w:p>
    <w:p>
      <w:r>
        <w:t>TenK10K and FinnGen external molecular-QTL records and allele-direction mappings.</w:t>
      </w:r>
    </w:p>
    <w:p>
      <w:pPr>
        <w:pStyle w:val="Heading2"/>
      </w:pPr>
      <w:r>
        <w:t>Supplementary Table S9</w:t>
      </w:r>
    </w:p>
    <w:p>
      <w:r>
        <w:t>Donor-level liver target-panel metrics, exact tests and sensitivity analyses.</w:t>
      </w:r>
    </w:p>
    <w:p>
      <w:pPr>
        <w:pStyle w:val="Heading2"/>
      </w:pPr>
      <w:r>
        <w:t>Supplementary Table S10</w:t>
      </w:r>
    </w:p>
    <w:p>
      <w:r>
        <w:t>Claim-evidence ledger and Methods-Results mirror.</w:t>
      </w:r>
    </w:p>
    <w:p>
      <w:pPr>
        <w:pStyle w:val="Heading2"/>
      </w:pPr>
      <w:r>
        <w:t>Supplementary Table S11</w:t>
      </w:r>
    </w:p>
    <w:p>
      <w:r>
        <w:t>IL12RB2-NK external disease-study validation, source credible-set audit, CASCADE coverage, chromatin-triangle adjudication and OMIX descriptive boundary. These records are supplied in Source Data 2.</w:t>
      </w:r>
    </w:p>
    <w:p>
      <w:pPr>
        <w:pStyle w:val="Heading1"/>
      </w:pPr>
      <w:r>
        <w:t>Redistribution boundary</w:t>
      </w:r>
    </w:p>
    <w:p>
      <w:r>
        <w:t>Individual-level genotype data, BAM files, pseudobulk matrices and third-party source archives are not redistributed. Source accessions, versions and access conditions are recorded in Supplementary Table S1 and the machine-readable source ledger.</w:t>
      </w:r>
    </w:p>
    <w:sectPr w:rsidR="00FC693F" w:rsidRPr="0006063C" w:rsidSect="00034616">
      <w:footerReference w:type="default" r:id="rId9"/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20"/>
      <w:ind w:firstLine="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2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52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2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69" w:lineRule="auto" w:after="80"/>
      <w:contextualSpacing/>
    </w:pPr>
    <w:rPr>
      <w:rFonts w:ascii="Times New Roman" w:hAnsi="Times New Roma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69" w:lineRule="auto" w:after="80"/>
      <w:contextualSpacing/>
    </w:pPr>
    <w:rPr>
      <w:rFonts w:ascii="Times New Roman" w:hAnsi="Times New Roma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line="240" w:lineRule="auto" w:after="120"/>
      <w:ind w:firstLine="0"/>
    </w:pPr>
    <w:rPr>
      <w:rFonts w:ascii="Times New Roman" w:hAnsi="Times New Roman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 and source data guide</dc:title>
  <dc:subject>npj Genomic Medicine supplementary information guide</dc:subject>
  <dc:creator>Zhi Chen; Teng Qi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