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Input-matched multi-signal colocalization clarifies immune-cell regulatory assignments at primary biliary cholangitis risk loci</w:t>
      </w:r>
    </w:p>
    <w:p>
      <w:pPr>
        <w:spacing w:line="276" w:lineRule="auto"/>
        <w:ind w:firstLine="0"/>
        <w:jc w:val="center"/>
      </w:pPr>
      <w:r>
        <w:rPr>
          <w:b/>
        </w:rPr>
        <w:t>Article type:</w:t>
      </w:r>
      <w:r>
        <w:t xml:space="preserve"> Research</w:t>
      </w:r>
    </w:p>
    <w:p>
      <w:pPr>
        <w:spacing w:line="276" w:lineRule="auto"/>
        <w:ind w:firstLine="0"/>
        <w:jc w:val="center"/>
      </w:pPr>
      <w:r>
        <w:rPr>
          <w:b/>
        </w:rPr>
        <w:t>Authors:</w:t>
      </w:r>
      <w:r>
        <w:t xml:space="preserve"> Zhi Chen¹ (ORCID: 0009-0001-0072-5576); Teng Qi¹* (ORCID: 0009-0007-7648-4776)</w:t>
      </w:r>
    </w:p>
    <w:p>
      <w:pPr>
        <w:spacing w:line="276" w:lineRule="auto"/>
        <w:ind w:firstLine="0"/>
        <w:jc w:val="center"/>
      </w:pPr>
      <w:r>
        <w:rPr>
          <w:b/>
        </w:rPr>
        <w:t>Affiliations:</w:t>
      </w:r>
      <w:r>
        <w:t xml:space="preserve"> ¹ School of Medicine, The Chinese University of Hong Kong, Shenzhen, 2001 Longxiang Boulevard, Longgang District, Shenzhen, Guangdong 518172, China</w:t>
      </w:r>
    </w:p>
    <w:p>
      <w:pPr>
        <w:spacing w:line="276" w:lineRule="auto"/>
        <w:ind w:firstLine="0"/>
        <w:jc w:val="center"/>
      </w:pPr>
      <w:r>
        <w:rPr>
          <w:b/>
        </w:rPr>
        <w:t>Corresponding author:</w:t>
      </w:r>
      <w:r>
        <w:t xml:space="preserve"> Teng Qi, School of Medicine, The Chinese University of Hong Kong, Shenzhen, 2001 Longxiang Boulevard, Longgang District, Shenzhen, Guangdong 518172, China; tengqi@link.cuhk.edu.cn</w:t>
      </w:r>
    </w:p>
    <w:p>
      <w:pPr>
        <w:pStyle w:val="Heading1"/>
      </w:pPr>
      <w:r>
        <w:t>Abstract</w:t>
      </w:r>
    </w:p>
    <w:p>
      <w:pPr>
        <w:pStyle w:val="Heading2"/>
      </w:pPr>
      <w:r>
        <w:t>Background</w:t>
      </w:r>
    </w:p>
    <w:p>
      <w:r>
        <w:t>Regulatory assignments at primary biliary cholangitis (PBC) risk loci can change with variant coverage, disease-statistic definitions and local signal architecture. We evaluated whether bidirectional colocalization reclassification persisted after matching inputs while separating statistical sharing from biological mechanism. A PBC-wide registry contained 6,923 locus-gene-cell comparisons; 5,460 met the single-causal overlap requirement and a frozen high-information subset of 642 underwent source-matched multi-signal analysis. Four arms retained the historical screen (A0), restricted variant support (A1), matched disease statistics (A2) and compared A2 with the frozen multi-signal result (M). We also evaluated signal-pair identity, PF10/PF50 sensitivity, 486,000 simulation iterations and bounded molecular-QTL and donor-level liver evidence.</w:t>
      </w:r>
    </w:p>
    <w:p>
      <w:pPr>
        <w:pStyle w:val="Heading2"/>
      </w:pPr>
      <w:r>
        <w:t>Results</w:t>
      </w:r>
    </w:p>
    <w:p>
      <w:r>
        <w:t>Support restriction and disease-statistic matching changed 15 and 19 categorical assignments, respectively. With matched inputs, 79 of 113 approximate-Bayes-factor H4 comparisons retained shared-pair support, whereas eight supported distinct pairs; ten of 452 H3 comparisons acquired shared-pair support. Final PF10 states comprised 92 H4-supported, 428 H3-supported, 59 model-sensitive and 63 uninformative comparisons. Across the frozen simulation grid, mean false-H4 decisions in distinct-signal scenarios decreased from 12.41% to 8.56%, while shared-signal recovery decreased from 32.99% to 26.66%. In a different disease study system, FinnGen R13 × OneK1K NK/IL12RB2 analysis used 1,175 variants and gave PP.H4=0.9977 at the default prior and 0.9772 at p12=10^-6; both OneK QTL credible-set variants occurred in the R13 disease credible set. A linked NK-cell peak supported PBC-caQTL sharing (PP.H4=0.9695) and a promoter-proximal peak-IL12RB2 link, while the direct eQTL-caQTL posterior remained unavailable. Both target-lineage pairs were detected in all five PBC and five control livers without corrected PBC-specific enrichment (both q=0.111).</w:t>
      </w:r>
    </w:p>
    <w:p>
      <w:pPr>
        <w:pStyle w:val="Heading2"/>
      </w:pPr>
      <w:r>
        <w:t>Conclusions</w:t>
      </w:r>
    </w:p>
    <w:p>
      <w:r>
        <w:t>Input matching explained part, but not all, of the differences in PBC regulatory assignments. Different-study-system validation strengthened the IL12RB2-NK association, but did not establish person-level independence, chromatin mediation or causal mechanism. Shared and distinct signal pairs, covariate-model sensitivity and discovery limitations should be reported separately.</w:t>
      </w:r>
    </w:p>
    <w:p>
      <w:r>
        <w:rPr>
          <w:b/>
        </w:rPr>
        <w:t>Keywords:</w:t>
      </w:r>
      <w:r>
        <w:t xml:space="preserve"> primary biliary cholangitis; colocalization; single-cell eQTL; fine-mapping; linkage disequilibrium; signal pair; regulatory genomics; statistical genetics</w:t>
      </w:r>
    </w:p>
    <w:p>
      <w:pPr>
        <w:pStyle w:val="Heading1"/>
      </w:pPr>
      <w:r>
        <w:t>Background</w:t>
      </w:r>
    </w:p>
    <w:p>
      <w:r>
        <w:t>Primary biliary cholangitis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w:t>
      </w:r>
    </w:p>
    <w:p>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r>
        <w:t>Bayesian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r>
        <w:t>We therefore used PBC as a disease-focused setting in which to assess the reliability and limits of immune-cell regulatory assignment. The study had four linked tasks. First, we conducted PBC-wide single-causal screening followed by a bounded multi-signal analysis of a frozen high-information subset. Second, we reconstructed matched-input ABF arms to distinguish changes attributable to the variant support set and disease-statistic definition from changes that remained between the single-causal and multi-signal procedures. Third, we separated credible-set discovery from pair-conditional inference in truth-known simulations. Finally, we examined representative IL12RB2-NK and FCRL3 B-cell assignments across molecular-QTL resources, evaluated IL12RB2-NK in a different disease study system and separated chromatin signal coherence from direct mediation. The objective was not to prove that one method is universally superior, to report every supported comparison as an independent discovery, or to infer tissue mechanism from statistical sharing. It was to determine which regulatory assignments were stable, which were input- or model-dependent, and which evidence boundaries remained unresolved.</w:t>
      </w:r>
    </w:p>
    <w:p>
      <w:pPr>
        <w:pStyle w:val="Heading1"/>
      </w:pPr>
      <w:r>
        <w:t>Methods</w:t>
      </w:r>
    </w:p>
    <w:p>
      <w:pPr>
        <w:pStyle w:val="Heading2"/>
      </w:pPr>
      <w:r>
        <w:t>Study design and governance</w:t>
      </w:r>
    </w:p>
    <w:p>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r>
        <w:t>The evidence architecture comprised source validation and harmonization, PBC-wide ABF screening, frozen high-information follow-up, cell-specific LD and multi-signal inference, diagnostic and signal-identity audits, matched-input comparison, simulation evaluation, and bounded external and tissue evidence. This is a conceptual organization, not a claim that every layer was generated in that chronological order: the liver analysis preceded the PBC-wide redesign, and signal-semantics and matched-input analyses were post-result audits. Negative, model-sensitive, coverage-limited and uninformative results remained in the final evidence set.</w:t>
      </w:r>
    </w:p>
    <w:p>
      <w:pPr>
        <w:pStyle w:val="Heading2"/>
      </w:pPr>
      <w:r>
        <w:t>PBC association data and study-derived disease LD</w:t>
      </w:r>
    </w:p>
    <w:p>
      <w:r>
        <w:t>PBC summary statistics were obtained from GWAS Catalog study GCST90061440, representing the GRCh37 European five-panel meta-analysis reported by Cordell and colleagues [2,8].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[9,10].</w:t>
      </w:r>
    </w:p>
    <w:p>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pPr>
      <w:r>
        <w:t>OneK1K expression-QTL data and PBC-wide comparison registry</w:t>
      </w:r>
    </w:p>
    <w:p>
      <w:r>
        <w:t>The cohort origin was the OneK1K single-cell peripheral-blood study [3]. The present reanalysis used the updated 980-donor genotype, covariate and expression resource associated with Xue et al. and Zenodo record 18910121 [11,12].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pPr>
      <w:r>
        <w:t>Variant identity, allele alignment and exact support sets</w:t>
      </w:r>
    </w:p>
    <w:p>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pPr>
      <w:r>
        <w:t>Historical single-causal ABF screen</w:t>
      </w:r>
    </w:p>
    <w:p>
      <w:r>
        <w:t>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pPr>
      <w:r>
        <w:t>Source-matched QTL LD and current-release model identity</w:t>
      </w:r>
    </w:p>
    <w:p>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center"/>
      </w:pPr>
      <w:r>
        <w:t>G* = [I - C(C^T C)^-1 C^T]G,</w:t>
      </w:r>
    </w:p>
    <w:p>
      <w:pPr>
        <w:ind w:firstLine="0"/>
        <w:jc w:val="center"/>
      </w:pPr>
      <w:r>
        <w:t>and R_QTL = cor(G*).</w:t>
      </w:r>
    </w:p>
    <w:p>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pPr>
      <w:r>
        <w:t>Multi-signal fine-mapping and signal-pair colocalization</w:t>
      </w:r>
    </w:p>
    <w:p>
      <w:r>
        <w:t xml:space="preserve">Disease and QTL association summaries were fine-mapped with SuSiE-RSS [13], the summary-data extension of the SuSiE model [6]. The primary PF10 model was evaluated at L=5, 10 and 20; PF50 was evaluated at L=10. Fits used </w:t>
      </w:r>
      <w:r>
        <w:rPr>
          <w:rFonts w:ascii="Courier New" w:hAnsi="Courier New"/>
          <w:sz w:val="18"/>
        </w:rPr>
        <w:t>estimate_residual_variance=FALSE</w:t>
      </w:r>
      <w:r>
        <w:t xml:space="preserve">, </w:t>
      </w:r>
      <w:r>
        <w:rPr>
          <w:rFonts w:ascii="Courier New" w:hAnsi="Courier New"/>
          <w:sz w:val="18"/>
        </w:rPr>
        <w:t>estimate_prior_variance=TRUE</w:t>
      </w:r>
      <w:r>
        <w:t xml:space="preserve">, </w:t>
      </w:r>
      <w:r>
        <w:rPr>
          <w:rFonts w:ascii="Courier New" w:hAnsi="Courier New"/>
          <w:sz w:val="18"/>
        </w:rPr>
        <w:t>max_iter=2000</w:t>
      </w:r>
      <w:r>
        <w:t xml:space="preserve">, </w:t>
      </w:r>
      <w:r>
        <w:rPr>
          <w:rFonts w:ascii="Courier New" w:hAnsi="Courier New"/>
          <w:sz w:val="18"/>
        </w:rPr>
        <w:t>tol=1x10^-4</w:t>
      </w:r>
      <w:r>
        <w:t>, 95% credible sets and minimum absolute within-set correlation of 0.5. Disease sample size was 24,510; QTL sample sizes followed the cell-specific donor counts.</w:t>
      </w:r>
    </w:p>
    <w:p>
      <w:r>
        <w:t xml:space="preserve">Signal-pair colocalization used </w:t>
      </w:r>
      <w:r>
        <w:rPr>
          <w:rFonts w:ascii="Courier New" w:hAnsi="Courier New"/>
          <w:sz w:val="18"/>
        </w:rPr>
        <w:t>coloc.susie</w:t>
      </w:r>
      <w:r>
        <w:t xml:space="preserve"> [7]. All eligible disease-QTL credible-set pairs were evaluated using the same p12 sensitivity series as the ABF screen. For a given configuration, an H4-qualifying pair required default PP.H4&gt;=0.80, default H4/(H3+H4)&gt;=0.80 and H4/(H3+H4)&gt;=0.50 at p12=1x10^-6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pPr>
      <w:r>
        <w:t>Multi-signal diagnostic adjudication</w:t>
      </w:r>
    </w:p>
    <w:p>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pPr>
      <w:r>
        <w:t>Matched-input A0/A1/A2/M attribution design</w:t>
      </w:r>
    </w:p>
    <w:p>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pPr>
      <w:r>
        <w:t>Simulation design and outcome channels</w:t>
      </w:r>
    </w:p>
    <w:p>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(1x10^-6, 1x10^-5, 1x10^-4). Each row allocated 500 iterations to each empirical template.</w:t>
      </w:r>
    </w:p>
    <w:p>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pPr>
      <w:r>
        <w:t>External molecular-QTL evaluation</w:t>
      </w:r>
    </w:p>
    <w:p>
      <w:r>
        <w:t>External evaluation was bounded to the representative IL12RB2-NK and FCRL3 B-cell axes; it was not used to select new genes. TenK10K common-variant cis-eQTL statistics within +/-100 kb were intersected with the same PBC disease summaries [4,14].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r>
        <w:t>FinnGen R12 PBC and molecular-QTL colocalization records were queried through the public outputs of the population-scale immune multiome resource [15]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pPr>
      <w:r>
        <w:t>Different-disease-study validation and source credible-set audit</w:t>
      </w:r>
    </w:p>
    <w:p>
      <w:r>
        <w:t xml:space="preserve">FinnGen R12 and R13 </w:t>
      </w:r>
      <w:r>
        <w:rPr>
          <w:rFonts w:ascii="Courier New" w:hAnsi="Courier New"/>
          <w:sz w:val="18"/>
        </w:rPr>
        <w:t>CHIRBIL_PRIM</w:t>
      </w:r>
      <w:r>
        <w:t xml:space="preserve"> metadata, regional R13 summary statistics and official disease fine-mapping records were obtained from the public release interfaces [16]. The release-stability audit compared R12 and R13 disease credible-set membership and probabilities in the IL12RB2 region. The R13 disease signal was bridged to the frozen OneK1K NK/IL12RB2 QTL by rsID and allele identity across GRCh38 and GRCh37 representations. After harmonization, 1,175 shared variants entered single-causal ABF colocalization with p1=p2=10^-4 and p12=10^-6, 10^-5 or 10^-4. OneK1K QTL credible-set members were then checked directly against the source FinnGen R13 disease credible set.</w:t>
      </w:r>
    </w:p>
    <w:p>
      <w:r>
        <w:t>FinnGen R13 and the discovery PBC GWAS constitute different study systems, but person-level non-overlap could not be demonstrated from public metadata. This module was therefore treated as external disease-study validation with a source-CS audit, not as proof of an entirely independent cohort and not as a second source-LD multi-signal fit.</w:t>
      </w:r>
    </w:p>
    <w:p>
      <w:pPr>
        <w:pStyle w:val="Heading2"/>
      </w:pPr>
      <w:r>
        <w:t>Source-integrated chromatin evidence</w:t>
      </w:r>
    </w:p>
    <w:p>
      <w:r>
        <w:t xml:space="preserve">Before querying the full CASCADE outputs, we fixed the 92 stable-H4 comparisons, comprising 27 genes and their corresponding broad cell strata. For those genes, we recorded relevant-cell eQTL availability and returned PBC-eQTL colocalization. The IL12RB2-linked peak </w:t>
      </w:r>
      <w:r>
        <w:rPr>
          <w:rFonts w:ascii="Courier New" w:hAnsi="Courier New"/>
          <w:sz w:val="18"/>
        </w:rPr>
        <w:t>chr1-67307618-67308670</w:t>
      </w:r>
      <w:r>
        <w:t xml:space="preserve"> was prespecified from the earlier source record. We extracted the PBC-eQTL and PBC-caQTL colocalization records in l1.NK, source credible-set membership and the peak-IL12RB2 link [15]. The disease-eQTL and disease-caQTL edges were evaluated separately. A direct eQTL-caQTL posterior was unavailable and was not inferred from overlapping credible sets. The integrated result was classified as triangular signal coherence rather than chromatin mediation.</w:t>
      </w:r>
    </w:p>
    <w:p>
      <w:pPr>
        <w:pStyle w:val="Heading2"/>
      </w:pPr>
      <w:r>
        <w:t>Descriptive spatial-transcriptomic boundary</w:t>
      </w:r>
    </w:p>
    <w:p>
      <w:r>
        <w:t>The public OMIX001122 processed spatial archive was checked at byte level and related to its original PBC study [17,18]. The released archive contained one control matrix and one PBC matrix without tissue images, spot coordinates or donor-replicated case-control structure. Matrix dimensions, total counts, positive spots and IL12RB2/FCRL3 detectability were recorded. No differential-expression or spatial-localization inference was attempted, and this layer was not counted as independent tissue replication.</w:t>
      </w:r>
    </w:p>
    <w:p>
      <w:pPr>
        <w:pStyle w:val="Heading2"/>
      </w:pPr>
      <w:r>
        <w:t>Donor-level liver target-panel analysis</w:t>
      </w:r>
    </w:p>
    <w:p>
      <w:r>
        <w:t xml:space="preserve">HRA008003 is an open-access single-cell study of liver and blood in PBC [19,20]. We analyzed liver BAM files from five treatment-naive PBC donors (HRR1849459-HRR1849463) and five non-lesion liver controls obtained during hepatic hemangioma surgery (HRR1849454-HRR1849458). Source sizes and checksums were verified, and each BAM passed </w:t>
      </w:r>
      <w:r>
        <w:rPr>
          <w:rFonts w:ascii="Courier New" w:hAnsi="Courier New"/>
          <w:sz w:val="18"/>
        </w:rPr>
        <w:t>samtools quickcheck</w:t>
      </w:r>
      <w:r>
        <w:t xml:space="preserve"> and tag-schema preflight.</w:t>
      </w:r>
    </w:p>
    <w:p>
      <w:r>
        <w:t xml:space="preserve">Molecule representatives were counted from records carrying the 10x </w:t>
      </w:r>
      <w:r>
        <w:rPr>
          <w:rFonts w:ascii="Courier New" w:hAnsi="Courier New"/>
          <w:sz w:val="18"/>
        </w:rPr>
        <w:t>xf</w:t>
      </w:r>
      <w:r>
        <w:t xml:space="preserve"> bit 8 flag, corrected cell barcode, gene name and unique molecular identifier. Called cells were determined using the frozen library-specific rank rule. B-lineage cells were identified from a prespecified B-marker panel and NK-lineage cells from a prespecified NK-marker panel, with lineage competition against T-cell and myeloid markers. Each donor-lineage unit required at least ten cells. Target detectability required at least three target UMIs and at least two target-positive lineage cells. Target CPM was calculated as target UMIs divided by total lineage UMIs multiplied by 10^6.</w:t>
      </w:r>
    </w:p>
    <w:p>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pPr>
      <w:r>
        <w:t>Reproducibility and reporting</w:t>
      </w:r>
    </w:p>
    <w:p>
      <w:r>
        <w:t>External inputs were recorded with accession, URL, byte count and available MD5 or locally calculated SHA-256 values. Large third-party files and donor-level genotype data were not mirrored publicly. Code, compact aggregate results, manifests and evidence ledgers were retained in the project repository [21]. Every central manuscript claim was mapped to a frozen source table, allowed wording, prohibited inference and limitation. Methods commitments were mirrored to corresponding Results statements before manuscript assembly.</w:t>
      </w:r>
    </w:p>
    <w:p>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1"/>
      </w:pPr>
      <w:r>
        <w:t>Results</w:t>
      </w:r>
    </w:p>
    <w:p>
      <w:pPr>
        <w:pStyle w:val="Heading2"/>
      </w:pPr>
      <w:r>
        <w:t>PBC-wide screening defined a bounded high-information multi-signal analysis</w:t>
      </w:r>
    </w:p>
    <w:p>
      <w: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1B). It covered 47 PBC regions, 200 genes, 14 cell types and 286 cell-locus blocks.</w:t>
      </w:r>
    </w:p>
    <w:p>
      <w: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w:t>
      </w:r>
    </w:p>
    <w:p>
      <w:r>
        <w:t>Current-release identity and diagnostic gates closed before manuscript interpretation. The targeted current-release gate passed 14 of 14 comparison-model identity rows (seven comparisons, two covariate models). The expanded registry covered 14 source cell types, a different counting unit. Corrected kriging diagnostics passed for 2,568 of 2,568 comparison-model-trait units. The only unique official-rule event was outside all recorded credible sets and did not alter a claim-bearing result (Figure 1D).</w:t>
      </w:r>
    </w:p>
    <w:p>
      <w:pPr>
        <w:pStyle w:val="Heading2"/>
      </w:pPr>
      <w:r>
        <w:t>Matching support and disease statistics explained some, but not all, reclassification</w:t>
      </w:r>
    </w:p>
    <w:p>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r>
        <w:t>Restricting the ABF calculation from S_A to S_M changed 15 categorical states (A0-to-A1) while retaining all 112 historical H4 states. Replacing the harmonized GCST disease definition with the matched GJOKA z-statistic definition changed another 19 states (A1-to-A2; Figure 2B). Fixed-versus-native sdY and matched-z-versus-rounded GJOKA sensitivity definitions produced no categorical changes within the frozen 642. Input coordination therefore mattered, but it did not erase the high-information shared-signal screen.</w:t>
      </w:r>
    </w:p>
    <w:p>
      <w: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w:t>
      </w:r>
    </w:p>
    <w:p>
      <w:r>
        <w:t>Ten of 12 historical directional transitions remained strict H4/H3 changes under matched inputs. FCRL3-CD8_ET remained H4 in A0, A1 and A2 but was H3 under the primary PF10 multi-signal analysis. Two historical cases entered the multi-signal analysis from matched-input ambiguous states and were no longer counted as strict A2-to-M reversals. This prevented preservation of a historical narrative from overriding the matched-input definition.</w:t>
      </w:r>
    </w:p>
    <w:p>
      <w:r>
        <w:t>Among the 520 comparisons with a definite PF10 H4 or H3 state, PF50 produced the same state in 491 (94.42%), changed four to the alternative supported state and was uninformative in 25 (Figure 2E). The remaining 122 PF10 model-sensitive or uninformative comparisons were not included in this denominator. PF50 concordance was therefore high among definite PF10 states, but it was not 491 of all 642 comparisons.</w:t>
      </w:r>
    </w:p>
    <w:p>
      <w: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2F). H4 support therefore meant that at least one shared pair was stable, not that every signal in the region was shared. Conversely, H3 support identified a stable distinct pair and did not prove the global absence of another shared pair.</w:t>
      </w:r>
    </w:p>
    <w:p>
      <w:pPr>
        <w:pStyle w:val="Heading2"/>
      </w:pPr>
      <w:r>
        <w:t>Simulation exposed a trade-off between false sharing, shared-signal recovery and discovery adequacy</w:t>
      </w:r>
    </w:p>
    <w:p>
      <w: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3A,D).</w:t>
      </w:r>
    </w:p>
    <w:p>
      <w: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3B).</w:t>
      </w:r>
    </w:p>
    <w:p>
      <w: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3C).</w:t>
      </w:r>
    </w:p>
    <w:p>
      <w: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w:t>
      </w:r>
    </w:p>
    <w:p>
      <w:pPr>
        <w:pStyle w:val="Heading2"/>
      </w:pPr>
      <w:r>
        <w:t>IL12RB2-NK gained external disease-study and chromatin signal support</w:t>
      </w:r>
    </w:p>
    <w:p>
      <w:r>
        <w:t>IL12RB2-NK was a representative stable-H4 comparison in OneK1K. Best PF10 signal-pair PP.H4 values were 0.9980 across L=5, 10 and 20; PF50 L=10 yielded PP.H4=0.9965. The comparison also contained a distinct signal pair, illustrating why stable H4 did not impose a single global mechanism label on the region.</w:t>
      </w:r>
    </w:p>
    <w:p>
      <w:r>
        <w:t>TenK10K NK-cell eQTL data reproduced the PBC-IL12RB2 sharing pattern under the bounded single-causal replication model (396 overlapping variants; default PP.H4=0.9975; low-prior H4/[H3+H4]=0.9760). FinnGen immune multiome outputs returned three PBC-IL12RB2 molecular-QTL records, for l1.NK, l1.PBMC and l2.NK strata. PP.H4 ranged from 0.9698 to 0.9706, with credible-set overlap of five to nine variants. These strata came from one resource and were not counted as three independent cohorts.</w:t>
      </w:r>
    </w:p>
    <w:p>
      <w:r>
        <w:t>The FinnGen disease signal was stable between public releases. The R12 disease credible set contained 19 variants and the R13 set contained 17; all 17 R13 members occurred in R12 (Jaccard=0.895), the same variant led both sets, and member probabilities correlated at r=0.833 (Figure 4A). FinnGen R13 contained 795 PBC cases and 368,758 controls. At the exact bridged disease variant rs6679356, the aligned C-allele effect was positive in both the discovery PBC GWAS and FinnGen R13.</w:t>
      </w:r>
    </w:p>
    <w:p>
      <w:r>
        <w:t>FinnGen R13 × OneK1K NK/IL12RB2 colocalization used 1,175 harmonized variants. PP.H4 was 0.9772 at p12=10^-6, 0.9977 at p12=10^-5 and 0.9998 at p12=10^-4; H4/(H3+H4) was 0.9776, 0.9977 and 0.9998, respectively (Figure 4B). The shared top variant was rs6702599, with concordant effect direction, and both members of the OneK QTL credible set occurred in the FinnGen R13 disease credible set. This supported the regulatory association in a different disease study system. Public metadata did not establish person-level zero overlap, and the external analysis remained single-causal rather than source-LD multi-signal.</w:t>
      </w:r>
    </w:p>
    <w:p>
      <w:r>
        <w:t>The prespecified CASCADE audit further constrained the chromatin interpretation. Of 27 fixed genes, 22 had relevant broad-cell eQTL coverage, but only IL12RB2 returned a PBC-eQTL colocalization record (Figure 4C). At the linked l1.NK peak, PBC-IL12RB2 eQTL sharing gave PP.H4=0.9703 and PBC-caQTL sharing gave PP.H4=0.9695. All nine eQTL credible-set members and all 11 caQTL credible-set members occurred within the 19-member disease credible set. The peak was 239 bp from the IL12RB2 transcription start site and linked to the gene with coefficient 0.141 (Figure 4D). These three observed edges supported triangular signal coherence. They did not supply the unavailable direct eQTL-caQTL posterior or establish chromatin-to-expression mediation.</w:t>
      </w:r>
    </w:p>
    <w:p>
      <w:r>
        <w:t>The aligned PBC risk allele was associated with higher IL12RB2 expression across compatible OneK1K, TenK10K and FinnGen records. Effect magnitudes were not compared because the expression transformations and models differed. In the OMIX001122 processed archive, IL12RB2 and FCRL3 were detectable in both the single PBC and single control spatial matrices. The absence of donor replication, tissue-image coordinates and spot annotations restricted this observation to descriptive detectability rather than disease enrichment or spatial validation.</w:t>
      </w:r>
    </w:p>
    <w:p>
      <w:pPr>
        <w:pStyle w:val="Heading2"/>
      </w:pPr>
      <w:r>
        <w:t>FCRL3 combined reproducible B-cell sharing with a model-sensitive T-cell counterexample</w:t>
      </w:r>
    </w:p>
    <w:p>
      <w:r>
        <w:t>FCRL3 showed stable OneK1K B-cell sharing in intermediate and memory B cells. Under PF10 L=10, best signal-pair PP.H4 values were 0.9937 and 0.9910, respectively (Figure 5A). TenK10K intermediate B cells reproduced the sharing pattern (343 overlapping variants; default PP.H4=0.9916; low-prior H4/[H3+H4]=0.9217; Figure 5B). Because the same PBC GWAS was reused, this was cross-QTL-resource support rather than independent disease replication.</w:t>
      </w:r>
    </w:p>
    <w:p>
      <w:r>
        <w:t>The PBC risk allele was associated with lower FCRL3 expression in the compatible OneK1K and TenK10K B-cell contexts. Current FinnGen public output returned no direct PBC-FCRL3 pair. That non-return was a coverage boundary, not evidence against sharing.</w:t>
      </w:r>
    </w:p>
    <w:p>
      <w:r>
        <w:t>FCRL3-CD8_ET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5C).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FCRL3 has no role in CD8 T cells.</w:t>
      </w:r>
    </w:p>
    <w:p>
      <w:pPr>
        <w:pStyle w:val="Heading2"/>
      </w:pPr>
      <w:r>
        <w:t>Liver expression supported lineage detectability but not corrected PBC-specific enrichment</w:t>
      </w:r>
    </w:p>
    <w:p>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w:t>
      </w:r>
    </w:p>
    <w:p>
      <w:r>
        <w:t>These results established that both genes could be detected in the relevant liver immune-lineage compartments in this dataset. They did not show corrected PBC-specific enrichment, tissue mediation or a disease-state mechanism (Figure 6C). The small donor sample and surgical non-lesion controls further limited generalization. The tissue layer therefore constrained, rather than completed, the regulatory narrative.</w:t>
      </w:r>
    </w:p>
    <w:p>
      <w:pPr>
        <w:pStyle w:val="Heading1"/>
      </w:pPr>
      <w:r>
        <w:t>Discussion</w:t>
      </w:r>
    </w:p>
    <w:p>
      <w:r>
        <w:t>This study used a fixed PBC comparison universe to ask why regulatory assignments change when single-causal screening is followed by source-matched multi-signal inference. The central finding was that input coordination explained a measurable portion of the changes but did not eliminate bidirectional H4/H3 reclassification. Restricting the support set changed 15 of 642 states, and matching the disease statistic changed 19. After those steps, eight ABF H4 comparisons supported distinct pairs under the multi-signal procedure and ten ABF H3 comparisons supported shared pairs. The direction was therefore not limited to falsifying favorable ABF results.</w:t>
      </w:r>
    </w:p>
    <w:p>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r>
        <w:t>PF10/PF50 results provide a second boundary. Among comparisons with a definite PF10 H4/H3 state, 491 of 520 retained the same state under PF50. This high conditional agreement supports the overall stability of many assignments. Yet FCRL3-CD8_ET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w:t>
      </w:r>
    </w:p>
    <w:p>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r>
        <w:t>The external axes demonstrate how a reliability framework can strengthen biological interpretation without inflating mechanism. IL12RB2-NK was stable across OneK1K configurations, reproduced in TenK10K and supported by FinnGen molecular-QTL strata. FinnGen R13 then supported the same OneK NK/IL12RB2 association in a different disease study system across the complete prior series and at the source-CS level. Prior PBC studies have also prioritized IL12RB2 through integrative genetic analyses [22,23], so the contribution is not first nomination of the gene. It is a source-aware, cell-context-specific chain that joins multi-signal discovery evidence to bounded external disease-study validation. The added chromatin layer strengthens biological coherence because the disease signal shared with both the eQTL and a linked caQTL. The missing direct eQTL-caQTL posterior prevents this triangle from becoming evidence of causal mediation.</w:t>
      </w:r>
    </w:p>
    <w:p>
      <w:r>
        <w:t>FCRL3 B-cell sharing was supported in OneK1K and TenK10K, with a consistent lower-expression direction for the risk allele. Independent 2026 work has reported PBC-related FCRL3 evidence in liver B cells and plasma-protein colocalization [24,25].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Genetic regulatory effects need not produce a large average case-control expression difference in an affected organ, particularly across heterogeneous cell states and disease stages. The null corrected result is therefore not a contradiction of the genetic association, but it also cannot be used as affirmative tissue mediation.</w:t>
      </w:r>
    </w:p>
    <w:p>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r>
        <w:t>Several limitations define the claim ceiling. First, only the high-information subset received multi-signal analysis; the study is PBC-wide screening followed by bounded reclassification, not a multi-signal analysis of all 6,923 comparisons. Second, real data contain no causal truth, so H4-to-H3 and H3-to-H4 changes are reclassifications rather than measured error corrections. Third, the simulation used two empirical 128-variant LD templates and a finite parameter grid. It describes operating characteristics over that grid rather than end-to-end calibration at every disease architecture, sample size or LD mismatch. Fourth, credible-set discovery limited pair-evaluable iterations. Fifth, OneK1K and TenK10K analyses reused the same discovery PBC GWAS. FinnGen R13 supplied a different disease study system, but had 795 cases, public metadata could not establish person-level non-overlap and the external analysis was single-causal rather than a second source-LD multi-signal fit. Sixth, the chromatin triangle lacked a direct eQTL-caQTL posterior, and the OMIX archive contained only one matrix per condition without spatial coordinates. Seventh, the liver study contained five donors per group, used non-lesion surgical controls and applied a bounded target panel rather than full-transcriptome state modeling. Finally, no perturbational experiment tested whether changing IL12RB2 or FCRL3 expression alters PBC-relevant immune or biliary phenotypes.</w:t>
      </w:r>
    </w:p>
    <w:p>
      <w:r>
        <w:t>Three next tests follow directly from these limits. The first priority is to repeat source-matched multi-signal analysis in a larger external PBC GWAS with documented participant separation and compatible ancestry. The second is to estimate the eQTL-caQTL relationship directly with common variant support and source-matched LD, rather than inferring it from two disease-sharing edges. The third is to perturb IL12RB2 in NK cells and FCRL3 in B-cell subsets, then measure defined immune phenotypes and interactions with cholangiocyte-relevant systems. These tests would determine whether the reproducible regulatory associations represent robust cross-study signal identity, chromatin-linked expression control or direct biological mediation.</w:t>
      </w:r>
    </w:p>
    <w:p>
      <w:pPr>
        <w:pStyle w:val="Heading1"/>
      </w:pPr>
      <w:r>
        <w:t>Conclusions</w:t>
      </w:r>
    </w:p>
    <w:p>
      <w:r>
        <w:t>At PBC risk loci, matching variant support and disease-statistic definitions explained part of the difference between single-causal and multi-signal colocalization, but strict bidirectional reclassification remained. Reliable regulatory attribution required signal-pair identity, coexistence of shared and distinct pairs, covariate-model sensitivity and credible-set discovery to be reported separately. IL12RB2-NK additionally received bounded support in a different disease study system and a disease-linked chromatin triangle, whereas FCRL3 B-cell evidence remained cross-QTL-resource and liver data supported lineage detectability without corrected disease enrichment. The resulting framework improves interpretability without treating statistical signal sharing as causal mechanism.</w:t>
      </w:r>
    </w:p>
    <w:p>
      <w:pPr>
        <w:pStyle w:val="Heading1"/>
      </w:pPr>
      <w:r>
        <w:t>List of abbreviations</w:t>
      </w:r>
    </w:p>
    <w:p>
      <w:r>
        <w:t>ABF: approximate Bayes factor; BH: Benjamini-Hochberg; CPM: counts per million; CS: credible set; eQTL: expression quantitative-trait locus; GWAS: genome-wide association study; H3: posterior hypothesis of two distinct associated variants/signals; H4: posterior hypothesis of a shared associated variant/signal; LD: linkage disequilibrium; PBMC: peripheral blood mononuclear cell; PBC: primary biliary cholangitis; PF: expression factor; PIP: posterior inclusion probability; QTL: quantitative-trait locus; RSS: regression with summary statistics.</w:t>
      </w:r>
    </w:p>
    <w:p>
      <w:pPr>
        <w:pStyle w:val="Heading1"/>
      </w:pPr>
      <w:r>
        <w:t>Declarations</w:t>
      </w:r>
    </w:p>
    <w:p>
      <w:pPr>
        <w:pStyle w:val="Heading2"/>
      </w:pPr>
      <w:r>
        <w:t>Ethics approval and consent to participate</w:t>
      </w:r>
    </w:p>
    <w:p>
      <w:r>
        <w:t>Ethics approval was not required because this study exclusively reanalysed publicly available, de-identified data and involved no new participant recruitment or identifiable data collection. The original studies reported their applicable ethics approvals and participant consent.</w:t>
      </w:r>
    </w:p>
    <w:p>
      <w:pPr>
        <w:pStyle w:val="Heading2"/>
      </w:pPr>
      <w:r>
        <w:t>Consent for publication</w:t>
      </w:r>
    </w:p>
    <w:p>
      <w:r>
        <w:t>Not applicable.</w:t>
      </w:r>
    </w:p>
    <w:p>
      <w:pPr>
        <w:pStyle w:val="Heading2"/>
      </w:pPr>
      <w:r>
        <w:t>Availability of data and materials</w:t>
      </w:r>
    </w:p>
    <w:p>
      <w:r>
        <w:t xml:space="preserve">PBC summary statistics are available through GWAS Catalog study GCST90061440. Study-derived PBC regional statistics and LD are available from the GJOKA archive. The OneK1K cohort, updated release and TenK10K resource are identified separately in their cited publications and Zenodo records. FinnGen R13 CHIRBIL_PRIM summary statistics and fine-mapping records are publicly distributed by FinnGen [16]; CASCADE records are accessible through the FinnGen immune multiome portal [15]. HRA008003 is available through GSA-Human, and OMIX001122 through the National Genomics Data Center [17]. Code, compact aggregate outputs, manifests, frozen protocols, source-bound figures and submission assets are versioned in the public repository at </w:t>
      </w:r>
      <w:r>
        <w:rPr>
          <w:rFonts w:ascii="Courier New" w:hAnsi="Courier New"/>
          <w:sz w:val="18"/>
        </w:rPr>
        <w:t>https://github.com/1209433622cz-maker/igan-open-regulatory-evidence/tree/r7c1-il12rb2-external-validation-2026-10-11</w:t>
      </w:r>
      <w:r>
        <w:t xml:space="preserve"> [21]. Additional files 1 and 2 contain the released supplementary workbook and primary machine-readable tables; Additional file 3 contains the R7C1 external-validation module. Individual-level genotype, BAM, pseudobulk matrices and third-party source archives are not redistributed.</w:t>
      </w:r>
    </w:p>
    <w:p>
      <w:pPr>
        <w:pStyle w:val="Heading2"/>
      </w:pPr>
      <w:r>
        <w:t>Competing interests</w:t>
      </w:r>
    </w:p>
    <w:p>
      <w:r>
        <w:t>The authors declare that they have no competing interests.</w:t>
      </w:r>
    </w:p>
    <w:p>
      <w:pPr>
        <w:pStyle w:val="Heading2"/>
      </w:pPr>
      <w:r>
        <w:t>Funding</w:t>
      </w:r>
    </w:p>
    <w:p>
      <w:r>
        <w:t>This research received no specific grant from any funding agency in the public, commercial or not-for-profit sectors. No funder had any role in study design, data analysis, interpretation, manuscript preparation or the decision to submit.</w:t>
      </w:r>
    </w:p>
    <w:p>
      <w:pPr>
        <w:pStyle w:val="Heading2"/>
      </w:pPr>
      <w:r>
        <w:t>Authors' contributions</w:t>
      </w:r>
    </w:p>
    <w:p>
      <w:r>
        <w:t>ZC: Conceptualization, Methodology, Software, Formal analysis, Investigation, Data curation, Visualization and Writing - original draft. TQ: Conceptualization, Methodology, Validation, Supervision, Project administration and Writing - review and editing. Both authors interpreted the results and approved the final manuscript.</w:t>
      </w:r>
    </w:p>
    <w:p>
      <w:pPr>
        <w:pStyle w:val="Heading2"/>
      </w:pPr>
      <w:r>
        <w:t>Acknowledgements</w:t>
      </w:r>
    </w:p>
    <w:p>
      <w:r>
        <w:t>Not applicable.</w:t>
      </w:r>
    </w:p>
    <w:p>
      <w:pPr>
        <w:pStyle w:val="Heading2"/>
      </w:pPr>
      <w:r>
        <w:t>Authors' information</w:t>
      </w:r>
    </w:p>
    <w:p>
      <w:r>
        <w:t>ZC is an MSc student in Bioinformatics at The Chinese University of Hong Kong, Shenzhen. His research focuses on multi-omics analysis and clinical cancer research, including integrative multi-omics approaches and the tumor microenvironment. He holds a BSc in Biomedical Sciences from Queen Mary University of London and an MB in Clinical Medicine from Nanchang University.</w:t>
      </w:r>
    </w:p>
    <w:p>
      <w:pPr>
        <w:pStyle w:val="Heading1"/>
      </w:pPr>
      <w:r>
        <w:t>References</w:t>
      </w:r>
    </w:p>
    <w:p>
      <w:r>
        <w:t xml:space="preserve">1. Gulamhusein AF, Hirschfield GM. Primary biliary cholangitis: pathogenesis and therapeutic opportunities. </w:t>
      </w:r>
      <w:r>
        <w:rPr>
          <w:i/>
        </w:rPr>
        <w:t>Nat Rev Gastroenterol Hepatol.</w:t>
      </w:r>
      <w:r>
        <w:t xml:space="preserve"> 2020;17:93-110. doi:10.1038/s41575-019-0226-7.</w:t>
      </w:r>
    </w:p>
    <w:p>
      <w:r>
        <w:t xml:space="preserve">2. Cordell HJ, Fryett JJ, Ueno K, et al. An international genome-wide meta-analysis of primary biliary cholangitis: novel risk loci and candidate drugs. </w:t>
      </w:r>
      <w:r>
        <w:rPr>
          <w:i/>
        </w:rPr>
        <w:t>J Hepatol.</w:t>
      </w:r>
      <w:r>
        <w:t xml:space="preserve"> 2021;75:572-581. doi:10.1016/j.jhep.2021.04.055.</w:t>
      </w:r>
    </w:p>
    <w:p>
      <w:r>
        <w:t xml:space="preserve">3. Yazar S, Alquicira-Hernandez J, Wing K, et al. Single-cell eQTL mapping identifies cell type-specific genetic control of autoimmune disease. </w:t>
      </w:r>
      <w:r>
        <w:rPr>
          <w:i/>
        </w:rPr>
        <w:t>Science.</w:t>
      </w:r>
      <w:r>
        <w:t xml:space="preserve"> 2022;376:eabf3041. doi:10.1126/science.abf3041.</w:t>
      </w:r>
    </w:p>
    <w:p>
      <w:r>
        <w:t xml:space="preserve">4. Cuomo ASE, Spenceley E, Tanudisastro HA, et al. Impact of rare and common genetic variation on cell type-specific gene expression in human blood. </w:t>
      </w:r>
      <w:r>
        <w:rPr>
          <w:i/>
        </w:rPr>
        <w:t>medRxiv.</w:t>
      </w:r>
      <w:r>
        <w:t xml:space="preserve"> 2025. doi:10.1101/2025.03.20.25324352. Dataset: Zenodo record 18221260.</w:t>
      </w:r>
    </w:p>
    <w:p>
      <w:r>
        <w:t xml:space="preserve">5. Giambartolomei C, Vukcevic D, Schadt EE, et al. Bayesian test for colocalisation between pairs of genetic association studies using summary statistics. </w:t>
      </w:r>
      <w:r>
        <w:rPr>
          <w:i/>
        </w:rPr>
        <w:t>PLoS Genet.</w:t>
      </w:r>
      <w:r>
        <w:t xml:space="preserve"> 2014;10:e1004383. doi:10.1371/journal.pgen.1004383.</w:t>
      </w:r>
    </w:p>
    <w:p>
      <w:r>
        <w:t xml:space="preserve">6. Wang G, Sarkar A, Carbonetto P, Stephens M. A simple new approach to variable selection in regression, with application to genetic fine mapping. </w:t>
      </w:r>
      <w:r>
        <w:rPr>
          <w:i/>
        </w:rPr>
        <w:t>J R Stat Soc Series B Stat Methodol.</w:t>
      </w:r>
      <w:r>
        <w:t xml:space="preserve"> 2020;82:1273-1300. doi:10.1111/rssb.12388.</w:t>
      </w:r>
    </w:p>
    <w:p>
      <w:r>
        <w:t xml:space="preserve">7. Wallace C. A more accurate method for colocalisation analysis allowing for multiple causal variants. </w:t>
      </w:r>
      <w:r>
        <w:rPr>
          <w:i/>
        </w:rPr>
        <w:t>PLoS Genet.</w:t>
      </w:r>
      <w:r>
        <w:t xml:space="preserve"> 2021;17:e1009440. doi:10.1371/journal.pgen.1009440.</w:t>
      </w:r>
    </w:p>
    <w:p>
      <w:r>
        <w:t>8. NHGRI-EBI GWAS Catalog. Study GCST90061440. https://www.ebi.ac.uk/gwas/studies/GCST90061440. Accessed 10 Oct 2026.</w:t>
      </w:r>
    </w:p>
    <w:p>
      <w:r>
        <w:t xml:space="preserve">9. Gjoka A, Cordell HJ. Fine-mapping the results from genome-wide association studies of primary biliary cholangitis using SuSiE and h2-D2. </w:t>
      </w:r>
      <w:r>
        <w:rPr>
          <w:i/>
        </w:rPr>
        <w:t>Genet Epidemiol.</w:t>
      </w:r>
      <w:r>
        <w:t xml:space="preserve"> 2025;49:e22592. doi:10.1002/gepi.22592.</w:t>
      </w:r>
    </w:p>
    <w:p>
      <w:r>
        <w:t>10. Cordell HJ, Gjoka A. PBC fine-mapping summary statistics and study-derived LD archive. https://www.staff.ncl.ac.uk/heather.cordell/GjokaPaper.html. Accessed 10 Oct 2026.</w:t>
      </w:r>
    </w:p>
    <w:p>
      <w:r>
        <w:t xml:space="preserve">11. Xue A, Yazar S, Alquicira-Hernández J, et al. Genetic variants associated with cell-type-specific intra-individual gene expression variability reveal mechanisms of genome regulation. </w:t>
      </w:r>
      <w:r>
        <w:rPr>
          <w:i/>
        </w:rPr>
        <w:t>Nat Commun.</w:t>
      </w:r>
      <w:r>
        <w:t xml:space="preserve"> 2026. Published online September 21, 2026. doi:10.1038/s41467-026-77453-9.</w:t>
      </w:r>
    </w:p>
    <w:p>
      <w:r>
        <w:t>12. Xue A, et al. OneK1K cell-specific cis-eQTL summary statistics, genotypes and covariates. Zenodo. 2026. https://doi.org/10.5281/zenodo.18910121.</w:t>
      </w:r>
    </w:p>
    <w:p>
      <w:r>
        <w:t xml:space="preserve">13. Zou Y, Carbonetto P, Wang G, Stephens M. Fine-mapping from summary data with the "Sum of Single Effects" model. </w:t>
      </w:r>
      <w:r>
        <w:rPr>
          <w:i/>
        </w:rPr>
        <w:t>PLoS Genet.</w:t>
      </w:r>
      <w:r>
        <w:t xml:space="preserve"> 2022;18(7):e1010299. doi:10.1371/journal.pgen.1010299.</w:t>
      </w:r>
    </w:p>
    <w:p>
      <w:r>
        <w:t>14. Cuomo ASE, et al. TenK10K phase 1 molecular-QTL and fine-mapping resources. Zenodo. 2026. https://doi.org/10.5281/zenodo.18221260.</w:t>
      </w:r>
    </w:p>
    <w:p>
      <w:r>
        <w:t xml:space="preserve">15. Kanai M, Delorey TM, Honkanen J, et al. Population-scale immune multiome atlas reveals regulatory disease mechanisms. </w:t>
      </w:r>
      <w:r>
        <w:rPr>
          <w:i/>
        </w:rPr>
        <w:t>Nature.</w:t>
      </w:r>
      <w:r>
        <w:t xml:space="preserve"> 2026. Published online September 30, 2026. doi:10.1038/s41586-026-11078-2.</w:t>
      </w:r>
    </w:p>
    <w:p>
      <w:r>
        <w:t>16. FinnGen. Release 13 summary statistics and fine-mapping records for CHIRBIL_PRIM. https://r13.finngen.fi/pheno/CHIRBIL_PRIM. Accessed 11 Oct 2026.</w:t>
      </w:r>
    </w:p>
    <w:p>
      <w:r>
        <w:t>17. National Genomics Data Center. OMIX001122: single-cell RNA profiling and spatial transcriptomics of primary biliary cholangitis. https://ngdc.cncb.ac.cn/omix/release/OMIX001122. Accessed 11 Oct 2026.</w:t>
      </w:r>
    </w:p>
    <w:p>
      <w:r>
        <w:t xml:space="preserve">18. Li X, Li Y, Xiao J, et al. Unique DUOX2+ACE2+ small cholangiocytes are pathogenic targets for primary biliary cholangitis. </w:t>
      </w:r>
      <w:r>
        <w:rPr>
          <w:i/>
        </w:rPr>
        <w:t>Nat Commun.</w:t>
      </w:r>
      <w:r>
        <w:t xml:space="preserve"> 2023;14:29. doi:10.1038/s41467-022-34606-w.</w:t>
      </w:r>
    </w:p>
    <w:p>
      <w:r>
        <w:t xml:space="preserve">19. Jin C, Jiang P, Zhang Z, et al. Single-cell RNA sequencing reveals the pro-inflammatory roles of liver-resident Th1-like cells in primary biliary cholangitis. </w:t>
      </w:r>
      <w:r>
        <w:rPr>
          <w:i/>
        </w:rPr>
        <w:t>Nat Commun.</w:t>
      </w:r>
      <w:r>
        <w:t xml:space="preserve"> 2024;15:8690. doi:10.1038/s41467-024-53104-9.</w:t>
      </w:r>
    </w:p>
    <w:p>
      <w:r>
        <w:t>20. National Genomics Data Center. GSA-Human HRA008003. https://ngdc.cncb.ac.cn/gsa-human/browse/HRA008003. Accessed 10 Oct 2026.</w:t>
      </w:r>
    </w:p>
    <w:p>
      <w:r>
        <w:t>21. Open Regulatory Evidence Project. Analysis code, frozen protocols and aggregate results. GitHub. https://github.com/1209433622cz-maker/igan-open-regulatory-evidence. Accessed 11 Oct 2026.</w:t>
      </w:r>
    </w:p>
    <w:p>
      <w:r>
        <w:t xml:space="preserve">22. Wang Q, Yan H, Wang N, Yuan J. Causal genetics prioritizes therapeutic targets and blood signatures in primary biliary cholangitis. </w:t>
      </w:r>
      <w:r>
        <w:rPr>
          <w:i/>
        </w:rPr>
        <w:t>npj Syst Biol Appl.</w:t>
      </w:r>
      <w:r>
        <w:t xml:space="preserve"> 2026. doi:10.1038/s41540-026-00817-w.</w:t>
      </w:r>
    </w:p>
    <w:p>
      <w:r>
        <w:t xml:space="preserve">23. Lin Y, Xu X, Chen H, Tang H, Hua Y, Mei J. Genetic mechanisms of primary biliary cholangitis and its association with immune cells using Mendelian randomization and biological annotation. </w:t>
      </w:r>
      <w:r>
        <w:rPr>
          <w:i/>
        </w:rPr>
        <w:t>Medicine (Baltimore).</w:t>
      </w:r>
      <w:r>
        <w:t xml:space="preserve"> 2026;105(22):e49146. doi:10.1097/MD.0000000000049146.</w:t>
      </w:r>
    </w:p>
    <w:p>
      <w:r>
        <w:t xml:space="preserve">24. Han Z, Ran Y, Liu R, et al. FCRL3 as a potential link between Benzo[a]pyrene exposure and primary biliary cholangitis: insights from comparative toxicogenomics and multi-omics analysis. </w:t>
      </w:r>
      <w:r>
        <w:rPr>
          <w:i/>
        </w:rPr>
        <w:t>BMC Gastroenterol.</w:t>
      </w:r>
      <w:r>
        <w:t xml:space="preserve"> 2026;26:101. doi:10.1186/s12876-026-04614-x.</w:t>
      </w:r>
    </w:p>
    <w:p>
      <w:r>
        <w:t xml:space="preserve">25. Xi J, Wang S, Chen J, et al. Exploration and discovery of treatment targets for primary biliary cholangitis based on plasma and cerebrospinal fluid proteomics: a multicenter Mendelian randomization study. </w:t>
      </w:r>
      <w:r>
        <w:rPr>
          <w:i/>
        </w:rPr>
        <w:t>PLoS One.</w:t>
      </w:r>
      <w:r>
        <w:t xml:space="preserve"> 2026;21(2):e0340166. doi:10.1371/journal.pone.0340166.</w:t>
      </w:r>
    </w:p>
    <w:p>
      <w:r>
        <w:br w:type="page"/>
      </w:r>
    </w:p>
    <w:p>
      <w:pPr>
        <w:pStyle w:val="Heading1"/>
      </w:pPr>
      <w:r>
        <w:t>Figure legends</w:t>
      </w:r>
    </w:p>
    <w:p>
      <w:pPr>
        <w:ind w:firstLine="0"/>
        <w:jc w:val="center"/>
      </w:pPr>
      <w:r>
        <w:drawing>
          <wp:inline xmlns:a="http://schemas.openxmlformats.org/drawingml/2006/main" xmlns:pic="http://schemas.openxmlformats.org/drawingml/2006/picture">
            <wp:extent cx="5897880" cy="4083872"/>
            <wp:docPr id="1" name="Picture 1"/>
            <wp:cNvGraphicFramePr>
              <a:graphicFrameLocks noChangeAspect="1"/>
            </wp:cNvGraphicFramePr>
            <a:graphic>
              <a:graphicData uri="http://schemas.openxmlformats.org/drawingml/2006/picture">
                <pic:pic>
                  <pic:nvPicPr>
                    <pic:cNvPr id="0" name="Figure1_study_scope_and_model_integrity.png"/>
                    <pic:cNvPicPr/>
                  </pic:nvPicPr>
                  <pic:blipFill>
                    <a:blip r:embed="rId10"/>
                    <a:stretch>
                      <a:fillRect/>
                    </a:stretch>
                  </pic:blipFill>
                  <pic:spPr>
                    <a:xfrm>
                      <a:off x="0" y="0"/>
                      <a:ext cx="5897880" cy="4083872"/>
                    </a:xfrm>
                    <a:prstGeom prst="rect"/>
                  </pic:spPr>
                </pic:pic>
              </a:graphicData>
            </a:graphic>
          </wp:inline>
        </w:drawing>
      </w:r>
    </w:p>
    <w:p>
      <w:pPr>
        <w:pStyle w:val="FigureCaption"/>
      </w:pPr>
      <w:r>
        <w:rPr>
          <w:b/>
        </w:rPr>
        <w:t>Figure 1. Study scope, bounded follow-up and model-integrity gates.</w:t>
      </w:r>
      <w:r>
        <w:t xml:space="preserve"> (A) Flow from the 6,923-comparison PBC-wide registry to 5,460 ABF-eligible comparisons and the frozen 642-comparison multi-signal subset. (B) Prespecified roles within the subset. (C) Final PF10 multi-signal comparison states. (D) The earlier targeted current-release identity gate (14 comparison-model rows across seven comparisons) and the expanded corrected kriging diagnostic closure (2,568 comparison-model-trait units). These denominators describe different audit tasks, not the number of cell types. The official-rule event was reviewed and did not enter a credible set.</w:t>
      </w:r>
    </w:p>
    <w:p>
      <w:pPr>
        <w:pStyle w:val="FigureCaption"/>
      </w:pPr>
      <w:r>
        <w:rPr>
          <w:b/>
        </w:rPr>
        <w:t>Abbreviations:</w:t>
      </w:r>
      <w:r>
        <w:t xml:space="preserve"> ABF, approximate Bayes factor; CS, credible set; H3, distinct-signal-pair support; H4, shared-signal-pair support; PF10, model using ten expression factors.</w:t>
      </w:r>
    </w:p>
    <w:p>
      <w:r>
        <w:br w:type="page"/>
      </w:r>
    </w:p>
    <w:p>
      <w:pPr>
        <w:ind w:firstLine="0"/>
        <w:jc w:val="center"/>
      </w:pPr>
      <w:r>
        <w:drawing>
          <wp:inline xmlns:a="http://schemas.openxmlformats.org/drawingml/2006/main" xmlns:pic="http://schemas.openxmlformats.org/drawingml/2006/picture">
            <wp:extent cx="5897880" cy="3526883"/>
            <wp:docPr id="2" name="Picture 2"/>
            <wp:cNvGraphicFramePr>
              <a:graphicFrameLocks noChangeAspect="1"/>
            </wp:cNvGraphicFramePr>
            <a:graphic>
              <a:graphicData uri="http://schemas.openxmlformats.org/drawingml/2006/picture">
                <pic:pic>
                  <pic:nvPicPr>
                    <pic:cNvPr id="0" name="Figure2_input_matched_reclassification.png"/>
                    <pic:cNvPicPr/>
                  </pic:nvPicPr>
                  <pic:blipFill>
                    <a:blip r:embed="rId11"/>
                    <a:stretch>
                      <a:fillRect/>
                    </a:stretch>
                  </pic:blipFill>
                  <pic:spPr>
                    <a:xfrm>
                      <a:off x="0" y="0"/>
                      <a:ext cx="5897880" cy="3526883"/>
                    </a:xfrm>
                    <a:prstGeom prst="rect"/>
                  </pic:spPr>
                </pic:pic>
              </a:graphicData>
            </a:graphic>
          </wp:inline>
        </w:drawing>
      </w:r>
    </w:p>
    <w:p>
      <w:pPr>
        <w:pStyle w:val="FigureCaption"/>
      </w:pPr>
      <w:r>
        <w:rPr>
          <w:b/>
        </w:rPr>
        <w:t>Figure 2. Matched inputs explain part, but not all, of bidirectional reclassification.</w:t>
      </w:r>
      <w:r>
        <w:t xml:space="preserve"> (A) Variants removed when the historical ABF support was restricted to the actual multi-signal intersection. (B) Categorical changes for adjacent A0/A1/A2/M arms; these counts are not additive. (C) Full matched-input A2-to-M transition matrix. (D) Correct H4 and H3 denominators after input matching. (E) PF10/PF50 sensitivity among 520 comparisons with definite PF10 H4/H3 states. (F) Stable signal-pair semantics: 60 stable-H4 comparisons had no qualifying H3 pair under the frozen thresholds, whereas 32 contained qualifying shared and distinct pairs.</w:t>
      </w:r>
    </w:p>
    <w:p>
      <w:pPr>
        <w:pStyle w:val="FigureCaption"/>
      </w:pPr>
      <w:r>
        <w:rPr>
          <w:b/>
        </w:rPr>
        <w:t>Abbreviations:</w:t>
      </w:r>
      <w:r>
        <w:t xml:space="preserve"> A0, historical ABF; A1, support-matched ABF; A2, support- and disease-statistic-matched ABF; M, frozen multi-signal result.</w:t>
      </w:r>
    </w:p>
    <w:p>
      <w:r>
        <w:br w:type="page"/>
      </w:r>
    </w:p>
    <w:p>
      <w:pPr>
        <w:ind w:firstLine="0"/>
        <w:jc w:val="center"/>
      </w:pPr>
      <w:r>
        <w:drawing>
          <wp:inline xmlns:a="http://schemas.openxmlformats.org/drawingml/2006/main" xmlns:pic="http://schemas.openxmlformats.org/drawingml/2006/picture">
            <wp:extent cx="5897880" cy="4115295"/>
            <wp:docPr id="3" name="Picture 3"/>
            <wp:cNvGraphicFramePr>
              <a:graphicFrameLocks noChangeAspect="1"/>
            </wp:cNvGraphicFramePr>
            <a:graphic>
              <a:graphicData uri="http://schemas.openxmlformats.org/drawingml/2006/picture">
                <pic:pic>
                  <pic:nvPicPr>
                    <pic:cNvPr id="0" name="Figure3_simulation_discovery_and_inference.png"/>
                    <pic:cNvPicPr/>
                  </pic:nvPicPr>
                  <pic:blipFill>
                    <a:blip r:embed="rId12"/>
                    <a:stretch>
                      <a:fillRect/>
                    </a:stretch>
                  </pic:blipFill>
                  <pic:spPr>
                    <a:xfrm>
                      <a:off x="0" y="0"/>
                      <a:ext cx="5897880" cy="4115295"/>
                    </a:xfrm>
                    <a:prstGeom prst="rect"/>
                  </pic:spPr>
                </pic:pic>
              </a:graphicData>
            </a:graphic>
          </wp:inline>
        </w:drawing>
      </w:r>
    </w:p>
    <w:p>
      <w:pPr>
        <w:pStyle w:val="FigureCaption"/>
      </w:pPr>
      <w:r>
        <w:rPr>
          <w:b/>
        </w:rPr>
        <w:t>Figure 3. Simulation separates credible-set discovery from pair-conditional inference.</w:t>
      </w:r>
      <w:r>
        <w:t xml:space="preserve"> (A) Primary multi-signal outcome channels by scenario. (B) Pair-evaluable, unconditional H4 and pair-conditional H4 rates. (C) Unconditional ABF and matched multi-signal H4 rates; S2 and S5 are distinct-signal scenarios. (D) Aggregate discovery channels. The primary branch had no recorded technical errors and no both-CS/no-pair events.</w:t>
      </w:r>
    </w:p>
    <w:p>
      <w:pPr>
        <w:pStyle w:val="FigureCaption"/>
      </w:pPr>
      <w:r>
        <w:rPr>
          <w:b/>
        </w:rPr>
        <w:t>Abbreviations:</w:t>
      </w:r>
      <w:r>
        <w:t xml:space="preserve"> CS, credible set; S1, one shared signal; S2, correlated distinct signals; S3, two disease signals and one QTL signal with partial sharing; S4, two signals per trait with one shared pair; S5, two signals per trait with no shared pair under high LD; S6, matched-versus-mismatched LD sensitivity.</w:t>
      </w:r>
    </w:p>
    <w:p>
      <w:r>
        <w:br w:type="page"/>
      </w:r>
    </w:p>
    <w:p>
      <w:pPr>
        <w:ind w:firstLine="0"/>
        <w:jc w:val="center"/>
      </w:pPr>
      <w:r>
        <w:drawing>
          <wp:inline xmlns:a="http://schemas.openxmlformats.org/drawingml/2006/main" xmlns:pic="http://schemas.openxmlformats.org/drawingml/2006/picture">
            <wp:extent cx="5897880" cy="4389632"/>
            <wp:docPr id="4" name="Picture 4"/>
            <wp:cNvGraphicFramePr>
              <a:graphicFrameLocks noChangeAspect="1"/>
            </wp:cNvGraphicFramePr>
            <a:graphic>
              <a:graphicData uri="http://schemas.openxmlformats.org/drawingml/2006/picture">
                <pic:pic>
                  <pic:nvPicPr>
                    <pic:cNvPr id="0" name="Figure4_IL12RB2_external_evidence.png"/>
                    <pic:cNvPicPr/>
                  </pic:nvPicPr>
                  <pic:blipFill>
                    <a:blip r:embed="rId13"/>
                    <a:stretch>
                      <a:fillRect/>
                    </a:stretch>
                  </pic:blipFill>
                  <pic:spPr>
                    <a:xfrm>
                      <a:off x="0" y="0"/>
                      <a:ext cx="5897880" cy="4389632"/>
                    </a:xfrm>
                    <a:prstGeom prst="rect"/>
                  </pic:spPr>
                </pic:pic>
              </a:graphicData>
            </a:graphic>
          </wp:inline>
        </w:drawing>
      </w:r>
    </w:p>
    <w:p>
      <w:pPr>
        <w:pStyle w:val="FigureCaption"/>
      </w:pPr>
      <w:r>
        <w:rPr>
          <w:b/>
        </w:rPr>
        <w:t>Figure 4. IL12RB2-NK gains external disease-study and chromatin signal support within bounded claims.</w:t>
      </w:r>
      <w:r>
        <w:t xml:space="preserve"> (A) FinnGen R12/R13 IL12RB2-region disease credible-set stability. (B) Single-causal FinnGen R13 × OneK1K NK/IL12RB2 posterior across the frozen p12 series; the different disease study system does not prove person-level zero overlap. (C) Prespecified CASCADE coverage among the 27 genes represented by the 92 stable-H4 comparisons. (D) Separate PBC-eQTL sharing, PBC-caQTL sharing and peak-IL12RB2 linkage. The dashed edge marks the unavailable direct eQTL-caQTL posterior. OMIX001122 contained one PBC and one control processed matrix and was retained as descriptive evidence only.</w:t>
      </w:r>
    </w:p>
    <w:p>
      <w:pPr>
        <w:pStyle w:val="FigureCaption"/>
      </w:pPr>
      <w:r>
        <w:rPr>
          <w:b/>
        </w:rPr>
        <w:t>Abbreviations:</w:t>
      </w:r>
      <w:r>
        <w:t xml:space="preserve"> caQTL, chromatin-accessibility quantitative-trait locus; CS, credible set; eQTL, expression quantitative-trait locus; H4, shared-signal posterior hypothesis; PBC, primary biliary cholangitis; PIP, posterior inclusion probability.</w:t>
      </w:r>
    </w:p>
    <w:p>
      <w:r>
        <w:br w:type="page"/>
      </w:r>
    </w:p>
    <w:p>
      <w:pPr>
        <w:ind w:firstLine="0"/>
        <w:jc w:val="center"/>
      </w:pPr>
      <w:r>
        <w:drawing>
          <wp:inline xmlns:a="http://schemas.openxmlformats.org/drawingml/2006/main" xmlns:pic="http://schemas.openxmlformats.org/drawingml/2006/picture">
            <wp:extent cx="5897880" cy="4091842"/>
            <wp:docPr id="5" name="Picture 5"/>
            <wp:cNvGraphicFramePr>
              <a:graphicFrameLocks noChangeAspect="1"/>
            </wp:cNvGraphicFramePr>
            <a:graphic>
              <a:graphicData uri="http://schemas.openxmlformats.org/drawingml/2006/picture">
                <pic:pic>
                  <pic:nvPicPr>
                    <pic:cNvPr id="0" name="Figure5_FCRL3_support_and_counterexample.png"/>
                    <pic:cNvPicPr/>
                  </pic:nvPicPr>
                  <pic:blipFill>
                    <a:blip r:embed="rId14"/>
                    <a:stretch>
                      <a:fillRect/>
                    </a:stretch>
                  </pic:blipFill>
                  <pic:spPr>
                    <a:xfrm>
                      <a:off x="0" y="0"/>
                      <a:ext cx="5897880" cy="4091842"/>
                    </a:xfrm>
                    <a:prstGeom prst="rect"/>
                  </pic:spPr>
                </pic:pic>
              </a:graphicData>
            </a:graphic>
          </wp:inline>
        </w:drawing>
      </w:r>
    </w:p>
    <w:p>
      <w:pPr>
        <w:pStyle w:val="FigureCaption"/>
      </w:pPr>
      <w:r>
        <w:rPr>
          <w:b/>
        </w:rPr>
        <w:t>Figure 5. FCRL3 combines reproducible B-cell sharing with a T-cell model-sensitivity counterexample.</w:t>
      </w:r>
      <w:r>
        <w:t xml:space="preserve"> (A) OneK1K PF10 best signal-pair PP.H4 for representative cells. (B) Cross-QTL-resource B-cell support. (C) FCRL3-CD8_ET across matched-input ABF arms and PF10/PF50 multi-signal configurations. A0, A1 and A2 use their own unrounded source values (PP.H4=0.9413346827, 0.9413349988 and 0.9492605462); their common H4 classification does not imply identical posterior values. (D) Claim boundary for direction and FinnGen coverage.</w:t>
      </w:r>
    </w:p>
    <w:p>
      <w:pPr>
        <w:pStyle w:val="FigureCaption"/>
      </w:pPr>
      <w:r>
        <w:rPr>
          <w:b/>
        </w:rPr>
        <w:t>Abbreviations:</w:t>
      </w:r>
      <w:r>
        <w:t xml:space="preserve"> B_IN, intermediate B cell; B_MEM, memory B cell; CD8_ET, effector CD8 T cell.</w:t>
      </w:r>
    </w:p>
    <w:p>
      <w:r>
        <w:br w:type="page"/>
      </w:r>
    </w:p>
    <w:p>
      <w:pPr>
        <w:ind w:firstLine="0"/>
        <w:jc w:val="center"/>
      </w:pPr>
      <w:r>
        <w:drawing>
          <wp:inline xmlns:a="http://schemas.openxmlformats.org/drawingml/2006/main" xmlns:pic="http://schemas.openxmlformats.org/drawingml/2006/picture">
            <wp:extent cx="5897880" cy="2100441"/>
            <wp:docPr id="6" name="Picture 6"/>
            <wp:cNvGraphicFramePr>
              <a:graphicFrameLocks noChangeAspect="1"/>
            </wp:cNvGraphicFramePr>
            <a:graphic>
              <a:graphicData uri="http://schemas.openxmlformats.org/drawingml/2006/picture">
                <pic:pic>
                  <pic:nvPicPr>
                    <pic:cNvPr id="0" name="Figure6_liver_tissue_boundary.png"/>
                    <pic:cNvPicPr/>
                  </pic:nvPicPr>
                  <pic:blipFill>
                    <a:blip r:embed="rId15"/>
                    <a:stretch>
                      <a:fillRect/>
                    </a:stretch>
                  </pic:blipFill>
                  <pic:spPr>
                    <a:xfrm>
                      <a:off x="0" y="0"/>
                      <a:ext cx="5897880" cy="2100441"/>
                    </a:xfrm>
                    <a:prstGeom prst="rect"/>
                  </pic:spPr>
                </pic:pic>
              </a:graphicData>
            </a:graphic>
          </wp:inline>
        </w:drawing>
      </w:r>
    </w:p>
    <w:p>
      <w:pPr>
        <w:pStyle w:val="FigureCaption"/>
      </w:pPr>
      <w:r>
        <w:rPr>
          <w:b/>
        </w:rPr>
        <w:t>Figure 6. Liver data localize target-lineage expression but do not show corrected disease enrichment.</w:t>
      </w:r>
      <w:r>
        <w:t xml:space="preserve"> (A) Donor-level FCRL3 B-lineage log1p CPM. (B) Donor-level IL12RB2 NK-lineage log1p CPM. Points are donors; boxes summarize the five donors per group. (C) Tissue evidence ceiling. Exact P values used all 252 possible 5-versus-5 label assignments, followed by BH correction across two targets.</w:t>
      </w:r>
    </w:p>
    <w:p>
      <w:pPr>
        <w:pStyle w:val="FigureCaption"/>
      </w:pPr>
      <w:r>
        <w:rPr>
          <w:b/>
        </w:rPr>
        <w:t>Abbreviations:</w:t>
      </w:r>
      <w:r>
        <w:t xml:space="preserve"> BH, Benjamini-Hochberg; CPM, counts per million; PBC, primary biliary cholangitis.</w:t>
      </w:r>
    </w:p>
    <w:p>
      <w:pPr>
        <w:pStyle w:val="Heading1"/>
      </w:pPr>
      <w:r>
        <w:t>Additional files</w:t>
      </w:r>
    </w:p>
    <w:p>
      <w:r>
        <w:rPr>
          <w:b/>
        </w:rPr>
        <w:t>Additional file 1.</w:t>
      </w:r>
      <w:r>
        <w:t xml:space="preserve"> </w:t>
      </w:r>
      <w:r>
        <w:rPr>
          <w:rFonts w:ascii="Courier New" w:hAnsi="Courier New"/>
          <w:sz w:val="18"/>
        </w:rPr>
        <w:t>Additional_file_1_Supplementary_Tables_S1-S10.xlsx</w:t>
      </w:r>
      <w:r>
        <w:t xml:space="preserve"> (Microsoft Excel workbook). Editable reading interface for Supplementary Tables S1-S10.</w:t>
      </w:r>
    </w:p>
    <w:p>
      <w:r>
        <w:rPr>
          <w:b/>
        </w:rPr>
        <w:t>Additional file 2.</w:t>
      </w:r>
      <w:r>
        <w:t xml:space="preserve"> </w:t>
      </w:r>
      <w:r>
        <w:rPr>
          <w:rFonts w:ascii="Courier New" w:hAnsi="Courier New"/>
          <w:sz w:val="18"/>
        </w:rPr>
        <w:t>Additional_file_2_Machine_Readable_Supplementary_Data.zip</w:t>
      </w:r>
      <w:r>
        <w:t xml:space="preserve"> (ZIP archive). Machine-readable TSV, TSV.GZ and JSON source/derived tables, plus a file-level SHA-256 manifest and README. The archive excludes individual-level genotype, BAM, pseudobulk matrices and licensed source archives.</w:t>
      </w:r>
    </w:p>
    <w:p>
      <w:r>
        <w:rPr>
          <w:b/>
        </w:rPr>
        <w:t>Additional file 3.</w:t>
      </w:r>
      <w:r>
        <w:t xml:space="preserve"> </w:t>
      </w:r>
      <w:r>
        <w:rPr>
          <w:rFonts w:ascii="Courier New" w:hAnsi="Courier New"/>
          <w:sz w:val="18"/>
        </w:rPr>
        <w:t>Additional_file_3_R7C1_External_Validation_Data.zip</w:t>
      </w:r>
      <w:r>
        <w:t xml:space="preserve"> (ZIP archive). Compact FinnGen R12/R13 disease-CS, FinnGen R13 × OneK1K, source-CS, fixed CASCADE, chromatin-triangle, OMIX descriptive-QC and source-ledger tables with an internal SHA-256 manifest.</w:t>
      </w:r>
    </w:p>
    <w:p>
      <w:r>
        <w:t>The three files contain the following prespecified supplementary modules:</w:t>
      </w:r>
    </w:p>
    <w:p>
      <w:r>
        <w:rPr>
          <w:b/>
        </w:rPr>
        <w:t>Supplementary Table S1.</w:t>
      </w:r>
      <w:r>
        <w:t xml:space="preserve"> Data sources, versions, accessions, checksums and redistribution status. Delivered in </w:t>
      </w:r>
      <w:r>
        <w:rPr>
          <w:rFonts w:ascii="Courier New" w:hAnsi="Courier New"/>
          <w:sz w:val="18"/>
        </w:rPr>
        <w:t>R7B3A_Supplementary_Tables_S1-S10.xlsx</w:t>
      </w:r>
      <w:r>
        <w:t xml:space="preserve"> and </w:t>
      </w:r>
      <w:r>
        <w:rPr>
          <w:rFonts w:ascii="Courier New" w:hAnsi="Courier New"/>
          <w:sz w:val="18"/>
        </w:rPr>
        <w:t>supplements/S1/</w:t>
      </w:r>
      <w:r>
        <w:t>.</w:t>
      </w:r>
    </w:p>
    <w:p>
      <w:r>
        <w:rPr>
          <w:b/>
        </w:rPr>
        <w:t>Supplementary Table S2.</w:t>
      </w:r>
      <w:r>
        <w:t xml:space="preserve"> Complete 6,923-comparison screening registry and 5,460 ABF-eligible subset. Delivered as a compressed machine-readable registry and workbook view in </w:t>
      </w:r>
      <w:r>
        <w:rPr>
          <w:rFonts w:ascii="Courier New" w:hAnsi="Courier New"/>
          <w:sz w:val="18"/>
        </w:rPr>
        <w:t>supplements/S2/</w:t>
      </w:r>
      <w:r>
        <w:t>.</w:t>
      </w:r>
    </w:p>
    <w:p>
      <w:r>
        <w:rPr>
          <w:b/>
        </w:rPr>
        <w:t>Supplementary Table S3.</w:t>
      </w:r>
      <w:r>
        <w:t xml:space="preserve"> Frozen 642-comparison roles, A0/A1/A2/M trajectories and categorical states. Delivered in </w:t>
      </w:r>
      <w:r>
        <w:rPr>
          <w:rFonts w:ascii="Courier New" w:hAnsi="Courier New"/>
          <w:sz w:val="18"/>
        </w:rPr>
        <w:t>supplements/S3/</w:t>
      </w:r>
      <w:r>
        <w:t>.</w:t>
      </w:r>
    </w:p>
    <w:p>
      <w:r>
        <w:rPr>
          <w:b/>
        </w:rPr>
        <w:t>Supplementary Table S4.</w:t>
      </w:r>
      <w:r>
        <w:t xml:space="preserve"> Support-set member and identity audit, including removed-variant counts and hashes. Delivered in </w:t>
      </w:r>
      <w:r>
        <w:rPr>
          <w:rFonts w:ascii="Courier New" w:hAnsi="Courier New"/>
          <w:sz w:val="18"/>
        </w:rPr>
        <w:t>supplements/S4/</w:t>
      </w:r>
      <w:r>
        <w:t>.</w:t>
      </w:r>
    </w:p>
    <w:p>
      <w:r>
        <w:rPr>
          <w:b/>
        </w:rPr>
        <w:t>Supplementary Table S5.</w:t>
      </w:r>
      <w:r>
        <w:t xml:space="preserve"> Source-matched PF10/PF50 LD and SuSiE quality-control metrics. Delivered in </w:t>
      </w:r>
      <w:r>
        <w:rPr>
          <w:rFonts w:ascii="Courier New" w:hAnsi="Courier New"/>
          <w:sz w:val="18"/>
        </w:rPr>
        <w:t>supplements/S5/</w:t>
      </w:r>
      <w:r>
        <w:t>.</w:t>
      </w:r>
    </w:p>
    <w:p>
      <w:r>
        <w:rPr>
          <w:b/>
        </w:rPr>
        <w:t>Supplementary Table S6.</w:t>
      </w:r>
      <w:r>
        <w:t xml:space="preserve"> Signal-pair posterior results, cross-L identity and mixed H4/H3 semantics. Delivered in </w:t>
      </w:r>
      <w:r>
        <w:rPr>
          <w:rFonts w:ascii="Courier New" w:hAnsi="Courier New"/>
          <w:sz w:val="18"/>
        </w:rPr>
        <w:t>supplements/S6/</w:t>
      </w:r>
      <w:r>
        <w:t>.</w:t>
      </w:r>
    </w:p>
    <w:p>
      <w:r>
        <w:rPr>
          <w:b/>
        </w:rPr>
        <w:t>Supplementary Table S7.</w:t>
      </w:r>
      <w:r>
        <w:t xml:space="preserve"> Simulation parameter grid, iteration-level channel definitions and scenario summaries, including the compressed 486,000-row channel audit. Delivered in </w:t>
      </w:r>
      <w:r>
        <w:rPr>
          <w:rFonts w:ascii="Courier New" w:hAnsi="Courier New"/>
          <w:sz w:val="18"/>
        </w:rPr>
        <w:t>supplements/S7/</w:t>
      </w:r>
      <w:r>
        <w:t>.</w:t>
      </w:r>
    </w:p>
    <w:p>
      <w:r>
        <w:rPr>
          <w:b/>
        </w:rPr>
        <w:t>Supplementary Table S8.</w:t>
      </w:r>
      <w:r>
        <w:t xml:space="preserve"> TenK10K and FinnGen external molecular-QTL records and allele-direction mappings. Delivered in </w:t>
      </w:r>
      <w:r>
        <w:rPr>
          <w:rFonts w:ascii="Courier New" w:hAnsi="Courier New"/>
          <w:sz w:val="18"/>
        </w:rPr>
        <w:t>supplements/S8/</w:t>
      </w:r>
      <w:r>
        <w:t>.</w:t>
      </w:r>
    </w:p>
    <w:p>
      <w:r>
        <w:rPr>
          <w:b/>
        </w:rPr>
        <w:t>Supplementary Table S9.</w:t>
      </w:r>
      <w:r>
        <w:t xml:space="preserve"> Donor-level liver target-panel metrics, exact tests and sensitivity analyses. Delivered in </w:t>
      </w:r>
      <w:r>
        <w:rPr>
          <w:rFonts w:ascii="Courier New" w:hAnsi="Courier New"/>
          <w:sz w:val="18"/>
        </w:rPr>
        <w:t>supplements/S9/</w:t>
      </w:r>
      <w:r>
        <w:t>.</w:t>
      </w:r>
    </w:p>
    <w:p>
      <w:r>
        <w:rPr>
          <w:b/>
        </w:rPr>
        <w:t>Supplementary Table S10.</w:t>
      </w:r>
      <w:r>
        <w:t xml:space="preserve"> Claim-evidence ledger and Methods-Results mirror. Delivered in </w:t>
      </w:r>
      <w:r>
        <w:rPr>
          <w:rFonts w:ascii="Courier New" w:hAnsi="Courier New"/>
          <w:sz w:val="18"/>
        </w:rPr>
        <w:t>supplements/S10/</w:t>
      </w:r>
      <w:r>
        <w:t>.</w:t>
      </w:r>
    </w:p>
    <w:p>
      <w:r>
        <w:rPr>
          <w:b/>
        </w:rPr>
        <w:t>Supplementary Table S11.</w:t>
      </w:r>
      <w:r>
        <w:t xml:space="preserve"> R7C1 IL12RB2-NK external disease-study validation, source credible-set audit, CASCADE coverage, chromatin-triangle adjudication and OMIX descriptive boundary. Delivered in Additional file 3.</w:t>
      </w:r>
    </w:p>
    <w:sectPr w:rsidR="00FC693F" w:rsidRPr="0006063C" w:rsidSect="00034616">
      <w:footerReference w:type="default" r:id="rId9"/>
      <w:pgSz w:w="11906" w:h="16838"/>
      <w:pgMar w:top="1247" w:right="1247" w:bottom="1247" w:left="1417" w:header="567" w:footer="567"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ind w:firstLine="4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52" w:lineRule="auto" w:before="0"/>
      <w:contextualSpacing/>
    </w:pPr>
    <w:rPr>
      <w:rFonts w:asciiTheme="majorHAnsi" w:eastAsiaTheme="majorEastAsia" w:hAnsiTheme="majorHAnsi" w:cstheme="majorBidi" w:ascii="Arial" w:hAnsi="Arial" w:eastAsia="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Input-matched multi-signal colocalization clarifies immune-cell regulatory assignments at primary biliary cholangitis risk loci</dc:title>
  <dc:subject>R7C1 external-validation manuscript fork</dc:subject>
  <dc:creator>Zhi Chen; Teng Qi</dc:creator>
  <cp:keywords>PBC; colocalization; eQTL; caQTL; source-matched LD; IL12RB2</cp:keywords>
  <dc:description>generated by python-docx</dc:description>
  <cp:lastModifiedBy/>
  <cp:revision>1</cp:revision>
  <dcterms:created xsi:type="dcterms:W3CDTF">2013-12-23T23:15:00Z</dcterms:created>
  <dcterms:modified xsi:type="dcterms:W3CDTF">2013-12-23T23:15:00Z</dcterms:modified>
  <cp:category/>
</cp:coreProperties>
</file>