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 matched multisignal colocalization clarifies regulatory assignments at primary biliary cholangitis loci</w:t>
      </w:r>
    </w:p>
    <w:p>
      <w:pPr>
        <w:spacing w:line="276" w:lineRule="auto"/>
        <w:ind w:firstLine="0"/>
        <w:jc w:val="left"/>
      </w:pPr>
      <w:r>
        <w:t>Article type: Article</w:t>
      </w:r>
    </w:p>
    <w:p>
      <w:pPr>
        <w:spacing w:line="276" w:lineRule="auto"/>
        <w:ind w:firstLine="0"/>
        <w:jc w:val="left"/>
      </w:pPr>
      <w:r>
        <w:t>Authors: Zhi Chen¹ (ORCID: 0009-0001-0072-5576); Teng Qi¹* (ORCID: 0009-0007-7648-4776)</w:t>
      </w:r>
    </w:p>
    <w:p>
      <w:pPr>
        <w:spacing w:line="276" w:lineRule="auto"/>
        <w:ind w:firstLine="0"/>
        <w:jc w:val="left"/>
      </w:pPr>
      <w:r>
        <w:t>Affiliations: ¹ School of Medicine, The Chinese University of Hong Kong, Shenzhen, 2001 Longxiang Boulevard, Longgang District, Shenzhen, Guangdong 518172, China</w:t>
      </w:r>
    </w:p>
    <w:p>
      <w:pPr>
        <w:spacing w:line="276" w:lineRule="auto"/>
        <w:ind w:firstLine="0"/>
        <w:jc w:val="left"/>
      </w:pPr>
      <w:r>
        <w:t>Corresponding author: Teng Qi, School of Medicine, The Chinese University of Hong Kong, Shenzhen, 2001 Longxiang Boulevard, Longgang District, Shenzhen, Guangdong 518172, China; tengqi@link.cuhk.edu.cn</w:t>
      </w:r>
    </w:p>
    <w:p>
      <w:pPr>
        <w:pStyle w:val="Heading1"/>
        <w:ind w:firstLine="0"/>
      </w:pPr>
      <w:r>
        <w:t>Abstract</w:t>
      </w:r>
    </w:p>
    <w:p>
      <w:pPr>
        <w:ind w:firstLine="0"/>
        <w:jc w:val="left"/>
      </w:pPr>
      <w:r>
        <w:t>Regulatory assignments can change when colocalization analyses use different inputs or causal assumptions. We screened 5,460 of 6,923 primary biliary cholangitis locus-gene-cell comparisons and applied source-matched multi-signal analysis to a prespecified 642-comparison subset. Matching variant support and disease statistics changed 15 and 19 classifications, respectively. Eight shared-signal (H4) comparisons became distinct-signal (H3), and ten H3 comparisons became H4. Across 486,000 simulations, multi-signal inference reduced false sharing from 12.41% to 8.56% but reduced shared-signal recovery from 32.99% to 26.66%. IL12RB2 sharing in natural killer (NK) cells received external disease-study and linked chromatin support, without establishing participant independence or mediation. Liver expression was detectable without corrected disease enrichment. These findings identify input matching, signal-pair identity, covariate sensitivity and discovery adequacy as complementary requirements for interpreting regulatory assignments. Statistical sharing supports regulatory association while direct mechanism remains untested.</w:t>
      </w:r>
    </w:p>
    <w:p>
      <w:pPr>
        <w:spacing w:line="276" w:lineRule="auto"/>
        <w:ind w:firstLine="0"/>
        <w:jc w:val="left"/>
      </w:pPr>
      <w:r>
        <w:t>Keywords: primary biliary cholangitis; colocalization; single-cell eQTL; fine-mapping; linkage disequilibrium; signal pair; regulatory genomics; statistical genetics</w:t>
      </w:r>
    </w:p>
    <w:p>
      <w:pPr>
        <w:pStyle w:val="Heading1"/>
        <w:ind w:firstLine="0"/>
      </w:pPr>
      <w:r>
        <w:t>Introduction</w:t>
      </w:r>
    </w:p>
    <w:p>
      <w:pPr>
        <w:ind w:firstLine="0"/>
        <w:jc w:val="left"/>
      </w:pPr>
      <w:r>
        <w:t>Primary biliary cholangitis (PBC)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w:t>
      </w:r>
    </w:p>
    <w:p>
      <w:pPr>
        <w:ind w:firstLine="0"/>
        <w:jc w:val="left"/>
      </w:pPr>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pPr>
        <w:ind w:firstLine="0"/>
        <w:jc w:val="left"/>
      </w:pPr>
      <w:r>
        <w:t>Approximate Bayes factor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pPr>
        <w:ind w:firstLine="0"/>
        <w:jc w:val="left"/>
      </w:pPr>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pPr>
        <w:ind w:firstLine="0"/>
        <w:jc w:val="left"/>
      </w:pPr>
      <w:r>
        <w:t>We used PBC to assess the reliability of immune-cell regulatory assignment through four linked tasks. First, we screened PBC-wide comparisons and performed multi-signal analysis in a prespecified high-information subset. Second, we reconstructed matched-input ABF arms to distinguish the effects of variant support and disease statistics from residual differences between single-causal and multi-signal procedures. Third, truth-known simulations separated credible-set discovery from inference conditional on an available signal pair. Finally, representative IL12RB2-NK and FCRL3 B-cell assignments were examined across molecular-QTL resources, a different disease study system and bounded chromatin and liver-expression evidence. Together, these analyses asked which assignments remained stable, which depended on inputs or model specification, and what additional evidence would be needed to infer mechanism.</w:t>
      </w:r>
    </w:p>
    <w:p>
      <w:pPr>
        <w:pStyle w:val="Heading1"/>
        <w:ind w:firstLine="0"/>
      </w:pPr>
      <w:r>
        <w:t>Results</w:t>
      </w:r>
    </w:p>
    <w:p>
      <w:pPr>
        <w:pStyle w:val="Heading2"/>
        <w:ind w:firstLine="0"/>
      </w:pPr>
      <w:r>
        <w:t>PBC-wide screening defined a bounded high-information multi-signal analysis</w:t>
      </w:r>
    </w:p>
    <w:p>
      <w:pPr>
        <w:ind w:firstLine="0"/>
        <w:jc w:val="left"/>
      </w:pPr>
      <w: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1b). It covered 47 PBC regions, 200 genes, 14 cell types and 286 cell-locus blocks. Complete records are provided in Source Data 1, S2/.</w:t>
      </w:r>
    </w:p>
    <w:p>
      <w:pPr>
        <w:ind w:firstLine="0"/>
        <w:jc w:val="left"/>
      </w:pPr>
      <w: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w:t>
      </w:r>
    </w:p>
    <w:p>
      <w:pPr>
        <w:ind w:firstLine="0"/>
        <w:jc w:val="left"/>
      </w:pPr>
      <w:r>
        <w:t>The source-identity audit verified 14 comparison-model records from seven targeted comparisons under PF10 and PF50. This counting unit differs from the 14 cell types in the expanded registry. Kriging diagnostics were reviewed for all 2,568 comparison-model-trait units. One unique variant satisfied the stated diagnostic flag rule; it lay outside all recorded credible sets and was retained without a diagnostic-triggered refit (Figure 1d).</w:t>
      </w:r>
    </w:p>
    <w:p>
      <w:pPr>
        <w:pStyle w:val="Heading2"/>
        <w:ind w:firstLine="0"/>
      </w:pPr>
      <w:r>
        <w:t>Matching support and disease statistics explained some, but not all, reclassification</w:t>
      </w:r>
    </w:p>
    <w:p>
      <w:pPr>
        <w:ind w:firstLine="0"/>
        <w:jc w:val="left"/>
      </w:pPr>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pPr>
        <w:ind w:firstLine="0"/>
        <w:jc w:val="left"/>
      </w:pPr>
      <w:r>
        <w:t>Restricting the ABF calculation from S_A to S_M changed 15 categorical states (A0-to-A1) while retaining all 112 historical H4 states. Replacing the harmonized GCST disease definition with the matched GJOKA z-statistic definition changed 19 states (A1-to-A2; Figure 2b). Fixed-versus-native sdY and matched-z-versus-rounded GJOKA sensitivity definitions produced no categorical changes within the frozen 642. The two change counts can involve the same comparisons and are not additive.</w:t>
      </w:r>
    </w:p>
    <w:p>
      <w:pPr>
        <w:ind w:firstLine="0"/>
        <w:jc w:val="left"/>
      </w:pPr>
      <w: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 Complete records are provided in Source Data 1, S3/.</w:t>
      </w:r>
    </w:p>
    <w:p>
      <w:pPr>
        <w:ind w:firstLine="0"/>
        <w:jc w:val="left"/>
      </w:pPr>
      <w:r>
        <w:t>Ten of 12 historical directional transitions remained strict H4/H3 changes under matched inputs. FCRL3-CD8_ET remained H4 in A0, A1 and A2 but was H3 under the primary PF10 multi-signal analysis. Two historical cases entered the multi-signal analysis from matched-input ambiguous states and were no longer counted as strict A2-to-M reversals. Strict reversal counts therefore follow the matched-input starting state.</w:t>
      </w:r>
    </w:p>
    <w:p>
      <w:pPr>
        <w:ind w:firstLine="0"/>
        <w:jc w:val="left"/>
      </w:pPr>
      <w:r>
        <w:t>Among the 520 comparisons with a definite PF10 H4 or H3 state, PF50 produced the same state in 491 (94.42%), changed four to the alternative supported state and was uninformative in 25 (Figure 2e). The remaining 122 PF10 model-sensitive or uninformative comparisons were not included in this denominator. The 94.42% agreement is conditional on a definite PF10 state.</w:t>
      </w:r>
    </w:p>
    <w:p>
      <w:pPr>
        <w:ind w:firstLine="0"/>
        <w:jc w:val="left"/>
      </w:pPr>
      <w: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2f). H4 support therefore meant that at least one shared pair was stable, not that every signal in the region was shared. Conversely, H3 support identified a stable distinct pair and did not prove the global absence of another shared pair.</w:t>
      </w:r>
    </w:p>
    <w:p>
      <w:pPr>
        <w:pStyle w:val="Heading2"/>
        <w:ind w:firstLine="0"/>
      </w:pPr>
      <w:r>
        <w:t>Simulation exposed a trade-off between false sharing, shared-signal recovery and discovery adequacy</w:t>
      </w:r>
    </w:p>
    <w:p>
      <w:pPr>
        <w:ind w:firstLine="0"/>
        <w:jc w:val="left"/>
      </w:pPr>
      <w: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3a,D).</w:t>
      </w:r>
    </w:p>
    <w:p>
      <w:pPr>
        <w:ind w:firstLine="0"/>
        <w:jc w:val="left"/>
      </w:pPr>
      <w: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3b).</w:t>
      </w:r>
    </w:p>
    <w:p>
      <w:pPr>
        <w:ind w:firstLine="0"/>
        <w:jc w:val="left"/>
      </w:pPr>
      <w: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3c).</w:t>
      </w:r>
    </w:p>
    <w:p>
      <w:pPr>
        <w:ind w:firstLine="0"/>
        <w:jc w:val="left"/>
      </w:pPr>
      <w: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 Complete records are provided in Source Data 1, S7/.</w:t>
      </w:r>
    </w:p>
    <w:p>
      <w:pPr>
        <w:pStyle w:val="Heading2"/>
        <w:ind w:firstLine="0"/>
      </w:pPr>
      <w:r>
        <w:t>IL12RB2-NK gained external disease-study and chromatin signal support</w:t>
      </w:r>
    </w:p>
    <w:p>
      <w:pPr>
        <w:ind w:firstLine="0"/>
        <w:jc w:val="left"/>
      </w:pPr>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pPr>
        <w:ind w:firstLine="0"/>
        <w:jc w:val="left"/>
      </w:pPr>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pPr>
        <w:ind w:firstLine="0"/>
        <w:jc w:val="left"/>
      </w:pPr>
      <w:r>
        <w:t>The FinnGen disease signal was stable between public releases. The R12 disease credible set contained 19 variants and the R13 set contained 17; all 17 R13 members occurred in R12 (Jaccard=0.895), the same variant led both sets, and member probabilities correlated at r=0.833 (Figure 4a). FinnGen R13 contained 795 PBC cases and 368,758 controls. At the exact bridged disease variant rs6679356, the aligned C-allele effect was positive in both the discovery PBC GWAS and FinnGen R13.</w:t>
      </w:r>
    </w:p>
    <w:p>
      <w:pPr>
        <w:ind w:firstLine="0"/>
        <w:jc w:val="left"/>
      </w:pPr>
      <w:r>
        <w:t>FinnGen R13 × OneK1K NK/IL12RB2 colocalization used 1,175 harmonized variants. PP.H4 was 0.9772 at p12=10^-6, 0.9977 at p12=10^-5 and 0.9998 at p12=10^-4; H4/(H3+H4) was 0.9776, 0.9977 and 0.9998, respectively (Figure 4b). The shared top variant was rs6702599, with concordant effect direction, and both members of the OneK QTL credible set occurred in the FinnGen R13 disease credible set. This supported the regulatory association in a different disease study system. Public metadata did not establish person-level zero overlap, and the external analysis remained single-causal rather than source-LD multi-signal. Complete records are provided in Source Data 2, data/.</w:t>
      </w:r>
    </w:p>
    <w:p>
      <w:pPr>
        <w:ind w:firstLine="0"/>
        <w:jc w:val="left"/>
      </w:pPr>
      <w:r>
        <w:t>The prespecified CASCADE audit further constrained the chromatin interpretation. Of 27 fixed genes, 22 had relevant broad-cell eQTL coverage, but only IL12RB2 returned a PBC-eQTL colocalization record (Figure 4c). At the linked l1.NK peak, PBC-IL12RB2 eQTL sharing gave PP.H4=0.9703 and PBC-caQTL sharing gave PP.H4=0.9695. All nine eQTL credible-set members and all 11 caQTL credible-set members occurred within the 19-member disease credible set. The peak was 239 bp from the IL12RB2 transcription start site and linked to the gene with coefficient 0.141 (Figure 4d). These three observed edges supported triangular signal coherence. They did not supply the unavailable direct eQTL-caQTL posterior or establish chromatin-to-expression mediation.</w:t>
      </w:r>
    </w:p>
    <w:p>
      <w:pPr>
        <w:ind w:firstLine="0"/>
        <w:jc w:val="left"/>
      </w:pPr>
      <w:r>
        <w:t>The aligned PBC risk allele was associated with higher IL12RB2 expression across compatible OneK1K, TenK10K and FinnGen records. Effect magnitudes were not compared because the expression transformations and models differed. In the OMIX001122 processed archive, IL12RB2 and FCRL3 were detectable in both the single PBC and single control spatial matrices. The absence of donor replication, tissue-image coordinates and spot annotations restricted this observation to descriptive detectability rather than disease enrichment or spatial validation.</w:t>
      </w:r>
    </w:p>
    <w:p>
      <w:pPr>
        <w:pStyle w:val="Heading2"/>
        <w:ind w:firstLine="0"/>
      </w:pPr>
      <w:r>
        <w:t>FCRL3 combined reproducible B-cell sharing with a model-sensitive T-cell counterexample</w:t>
      </w:r>
    </w:p>
    <w:p>
      <w:pPr>
        <w:ind w:firstLine="0"/>
        <w:jc w:val="left"/>
      </w:pPr>
      <w:r>
        <w:t>FCRL3 showed stable OneK1K B-cell sharing in intermediate and memory B cells. Under PF10 L=10, best signal-pair PP.H4 values were 0.9937 and 0.9910, respectively (Figure 5a). TenK10K intermediate B cells reproduced the sharing pattern (343 overlapping variants; default PP.H4=0.9916; low-prior H4/[H3+H4]=0.9217; Figure 5b). Because the same PBC GWAS was reused, this was cross-QTL-resource support rather than independent disease replication.</w:t>
      </w:r>
    </w:p>
    <w:p>
      <w:pPr>
        <w:ind w:firstLine="0"/>
        <w:jc w:val="left"/>
      </w:pPr>
      <w:r>
        <w:t>The PBC risk allele was associated with lower FCRL3 expression in the compatible OneK1K and TenK10K B-cell contexts. Current FinnGen public output returned no direct PBC-FCRL3 pair. That non-return was a coverage boundary, not evidence against sharing.</w:t>
      </w:r>
    </w:p>
    <w:p>
      <w:pPr>
        <w:ind w:firstLine="0"/>
        <w:jc w:val="left"/>
      </w:pPr>
      <w:r>
        <w:t>FCRL3-CD8_ET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5c).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FCRL3 has no role in CD8 T cells.</w:t>
      </w:r>
    </w:p>
    <w:p>
      <w:pPr>
        <w:pStyle w:val="Heading2"/>
        <w:ind w:firstLine="0"/>
      </w:pPr>
      <w:r>
        <w:t>Liver expression supported lineage detectability but not corrected PBC-specific enrichment</w:t>
      </w:r>
    </w:p>
    <w:p>
      <w:pPr>
        <w:ind w:firstLine="0"/>
        <w:jc w:val="left"/>
      </w:pPr>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pPr>
        <w:ind w:firstLine="0"/>
        <w:jc w:val="left"/>
      </w:pPr>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 Complete records are provided in Supplementary Data 1, worksheet S9; Source Data 1, S9/.</w:t>
      </w:r>
    </w:p>
    <w:p>
      <w:pPr>
        <w:ind w:firstLine="0"/>
        <w:jc w:val="left"/>
      </w:pPr>
      <w:r>
        <w:t>These results established that both genes could be detected in the relevant liver immune-lineage compartments in this dataset. They did not show corrected PBC-specific enrichment, tissue mediation or a disease-state mechanism (Figure 6c). The small donor sample and surgical non-lesion controls further limited generalization. The tissue layer therefore constrained, rather than completed, the regulatory narrative.</w:t>
      </w:r>
    </w:p>
    <w:p>
      <w:pPr>
        <w:pStyle w:val="Heading1"/>
        <w:ind w:firstLine="0"/>
      </w:pPr>
      <w:r>
        <w:t>Discussion</w:t>
      </w:r>
    </w:p>
    <w:p>
      <w:pPr>
        <w:ind w:firstLine="0"/>
        <w:jc w:val="left"/>
      </w:pPr>
      <w:r>
        <w:t>This study used a fixed PBC comparison universe to ask why regulatory assignments change when single-causal screening is followed by source-matched multi-signal inference. The central finding was that input coordination explained a measurable portion of the changes but did not eliminate bidirectional H4/H3 reclassification. Restricting the support set changed 15 of 642 states, and matching the disease statistic changed 19. After those steps, eight ABF H4 comparisons supported distinct pairs under the multi-signal procedure and ten ABF H3 comparisons supported shared pairs. The direction was therefore not limited to falsifying favorable ABF results.</w:t>
      </w:r>
    </w:p>
    <w:p>
      <w:pPr>
        <w:ind w:firstLine="0"/>
        <w:jc w:val="left"/>
      </w:pPr>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[5,6,7,8].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pPr>
        <w:ind w:firstLine="0"/>
        <w:jc w:val="left"/>
      </w:pPr>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pPr>
        <w:ind w:firstLine="0"/>
        <w:jc w:val="left"/>
      </w:pPr>
      <w:r>
        <w:t>PF10/PF50 results provide a second boundary. Among comparisons with a definite PF10 H4/H3 state, 491 of 520 retained the same state under PF50. This high conditional agreement supports the overall stability of many assignments. Yet FCRL3-CD8_ET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w:t>
      </w:r>
    </w:p>
    <w:p>
      <w:pPr>
        <w:ind w:firstLine="0"/>
        <w:jc w:val="left"/>
      </w:pPr>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pPr>
        <w:ind w:firstLine="0"/>
        <w:jc w:val="left"/>
      </w:pPr>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pPr>
        <w:ind w:firstLine="0"/>
        <w:jc w:val="left"/>
      </w:pPr>
      <w:r>
        <w:t>The external axes demonstrate how a reliability framework can strengthen biological interpretation without inflating mechanism. IL12RB2-NK was stable across OneK1K configurations, reproduced in TenK10K and supported by FinnGen molecular-QTL strata. FinnGen R13 then supported the same OneK NK/IL12RB2 association in a different disease study system across the complete prior series and at the source-CS level. Prior PBC studies have also prioritized IL12RB2 through integrative genetic analyses [9,10],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prevents this triangle from becoming evidence of causal mediation.</w:t>
      </w:r>
    </w:p>
    <w:p>
      <w:pPr>
        <w:ind w:firstLine="0"/>
        <w:jc w:val="left"/>
      </w:pPr>
      <w:r>
        <w:t>FCRL3 B-cell sharing was supported in OneK1K and TenK10K, with a consistent lower-expression direction for the risk allele. Independent 2026 work has reported PBC-related FCRL3 evidence in liver B cells and plasma-protein colocalization [11,12].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pPr>
        <w:ind w:firstLine="0"/>
        <w:jc w:val="left"/>
      </w:pPr>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A genotype-expression association within a cell context and an average expression contrast between case and control donors estimate different relationships. The latter also combines cell-state, disease-stage and surgical-control differences. The null corrected result is therefore not a contradiction of the genetic association, but it also cannot be used as affirmative tissue mediation.</w:t>
      </w:r>
    </w:p>
    <w:p>
      <w:pPr>
        <w:ind w:firstLine="0"/>
        <w:jc w:val="left"/>
      </w:pPr>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pPr>
        <w:ind w:firstLine="0"/>
        <w:jc w:val="left"/>
      </w:pPr>
      <w:r>
        <w:t>Several limitations define the claim ceiling. First, only the high-information subset received multi-signal analysis; the study is PBC-wide screening followed by bounded reclassification, not a multi-signal analysis of all 6,923 comparisons. Second, real data contain no causal truth, so H4-to-H3 and H3-to-H4 changes are reclassifications rather than measured error corrections. Third, the simulation used two empirical 128-variant LD templates and a finite parameter grid. It describes operating characteristics over that grid rather than end-to-end calibration at every disease architecture, sample size or LD mismatch. Fourth, credible-set discovery limited pair-evaluable iterations. Fifth, OneK1K and TenK10K analyses reused the same discovery PBC GWAS. FinnGen R13 supplied a different disease study system, but had 795 cases, public metadata could not establish person-level non-overlap and the external analysis was single-causal rather than a second source-LD multi-signal fit. Sixth, the chromatin triangle lacked a direct eQTL-caQTL posterior, and the OMIX archive contained only one matrix per condition without spatial coordinates. Seventh, the liver study contained five donors per group, used non-lesion surgical controls and applied a bounded target panel rather than full-transcriptome state modeling. Finally, no perturbational experiment tested whether changing IL12RB2 or FCRL3 expression alters PBC-relevant immune or biliary phenotypes.</w:t>
      </w:r>
    </w:p>
    <w:p>
      <w:pPr>
        <w:ind w:firstLine="0"/>
        <w:jc w:val="left"/>
      </w:pPr>
      <w:r>
        <w:t>Three tests would resolve distinct remaining uncertainties. First, source-matched multi-signal analysis in a larger external PBC GWAS with documented participant separation would test whether the same disease-QTL signal pairs persist under matched ancestry and variant support. Second, a direct eQTL-caQTL analysis with common variants and source-matched LD would test whether the chromatin and expression associations share a signal beyond their separate disease-sharing edges. Third, perturbing IL12RB2 in NK cells and FCRL3 in B-cell subsets, with non-targeting controls, would test whether altered expression changes immune activation and cholangiocyte injury in a defined coculture model. Reproduced signal identity would strengthen cross-study regulatory association; a perturbation response would address mechanism, and neither would alone establish clinical efficacy.</w:t>
      </w:r>
    </w:p>
    <w:p>
      <w:pPr>
        <w:ind w:firstLine="0"/>
        <w:jc w:val="left"/>
      </w:pPr>
      <w:r>
        <w:t>At PBC risk loci, matching variant support and disease-statistic definitions explained part of the difference between single-causal and multi-signal colocalization, but strict bidirectional reclassification remained. Reliable regulatory attribution required signal-pair identity, coexistence of shared and distinct pairs, covariate-model sensitivity and credible-set discovery to be reported separately. IL12RB2-NK additionally received bounded support in a different disease study system and a disease-linked chromatin triangle, whereas FCRL3 B-cell evidence remained cross-QTL-resource and liver data supported lineage detectability without corrected disease enrichment. The resulting framework improves interpretability without treating statistical signal sharing as causal mechanism.</w:t>
      </w:r>
    </w:p>
    <w:p>
      <w:pPr>
        <w:pStyle w:val="Heading1"/>
        <w:ind w:firstLine="0"/>
      </w:pPr>
      <w:r>
        <w:t>Methods</w:t>
      </w:r>
    </w:p>
    <w:p>
      <w:pPr>
        <w:pStyle w:val="Heading2"/>
        <w:ind w:firstLine="0"/>
      </w:pPr>
      <w:r>
        <w:t>Study design and governance</w:t>
      </w:r>
    </w:p>
    <w:p>
      <w:pPr>
        <w:ind w:firstLine="0"/>
        <w:jc w:val="left"/>
      </w:pPr>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pPr>
        <w:ind w:firstLine="0"/>
        <w:jc w:val="left"/>
      </w:pPr>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pPr>
        <w:ind w:firstLine="0"/>
        <w:jc w:val="left"/>
      </w:pPr>
      <w:r>
        <w:t>The analysis comprised source validation, harmonization, ABF screening, high-information follow-up, cell-specific LD construction, multi-signal inference, diagnostic review, matched-input comparison, simulations and bounded external and tissue evaluation. The liver analysis preceded the PBC-wide design; signal-semantics and matched-input comparisons were post-result audits. Negative, model-sensitive, coverage-limited and uninformative results were retained.</w:t>
      </w:r>
    </w:p>
    <w:p>
      <w:pPr>
        <w:pStyle w:val="Heading2"/>
        <w:ind w:firstLine="0"/>
      </w:pPr>
      <w:r>
        <w:t>PBC association data and study-derived disease LD</w:t>
      </w:r>
    </w:p>
    <w:p>
      <w:pPr>
        <w:ind w:firstLine="0"/>
        <w:jc w:val="left"/>
      </w:pPr>
      <w:r>
        <w:t>PBC summary statistics were obtained from GWAS Catalog study GCST90061440, representing the GRCh37 European five-panel meta-analysis reported by Cordell and colleagues [2] (https://www.ebi.ac.uk/gwas/studies/GCST90061440).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[13] (https://www.staff.ncl.ac.uk/heather.cordell/GjokaPaper.html).</w:t>
      </w:r>
    </w:p>
    <w:p>
      <w:pPr>
        <w:ind w:firstLine="0"/>
        <w:jc w:val="left"/>
      </w:pPr>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ind w:firstLine="0"/>
      </w:pPr>
      <w:r>
        <w:t>OneK1K expression-QTL data and PBC-wide comparison registry</w:t>
      </w:r>
    </w:p>
    <w:p>
      <w:pPr>
        <w:ind w:firstLine="0"/>
        <w:jc w:val="left"/>
      </w:pPr>
      <w:r>
        <w:t>The cohort origin was the OneK1K single-cell peripheral-blood study [3]. The present reanalysis used the updated 980-donor genotype, covariate and expression resource associated with Xue et al. and Zenodo record 18910121 [14,15].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pPr>
        <w:ind w:firstLine="0"/>
        <w:jc w:val="left"/>
      </w:pPr>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ind w:firstLine="0"/>
      </w:pPr>
      <w:r>
        <w:t>Variant identity, allele alignment and exact support sets</w:t>
      </w:r>
    </w:p>
    <w:p>
      <w:pPr>
        <w:ind w:firstLine="0"/>
        <w:jc w:val="left"/>
      </w:pPr>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pPr>
        <w:ind w:firstLine="0"/>
        <w:jc w:val="left"/>
      </w:pPr>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ind w:firstLine="0"/>
      </w:pPr>
      <w:r>
        <w:t>Historical single-causal ABF screen</w:t>
      </w:r>
    </w:p>
    <w:p>
      <w:pPr>
        <w:ind w:firstLine="0"/>
        <w:jc w:val="left"/>
      </w:pPr>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pPr>
        <w:ind w:firstLine="0"/>
        <w:jc w:val="left"/>
      </w:pPr>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ind w:firstLine="0"/>
      </w:pPr>
      <w:r>
        <w:t>Source-matched QTL LD and current-release model identity</w:t>
      </w:r>
    </w:p>
    <w:p>
      <w:pPr>
        <w:ind w:firstLine="0"/>
        <w:jc w:val="left"/>
      </w:pPr>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left"/>
      </w:pPr>
      <w:r>
        <w:t>G* = [I - C(C^T C)^-1 C^T]G,</w:t>
      </w:r>
    </w:p>
    <w:p>
      <w:pPr>
        <w:ind w:firstLine="0"/>
        <w:jc w:val="left"/>
      </w:pPr>
      <w:r>
        <w:t>and R_QTL = cor(G*).</w:t>
      </w:r>
    </w:p>
    <w:p>
      <w:pPr>
        <w:ind w:firstLine="0"/>
        <w:jc w:val="left"/>
      </w:pPr>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ind w:firstLine="0"/>
      </w:pPr>
      <w:r>
        <w:t>Multi-signal fine-mapping and signal-pair colocalization</w:t>
      </w:r>
    </w:p>
    <w:p>
      <w:pPr>
        <w:ind w:firstLine="0"/>
        <w:jc w:val="left"/>
      </w:pPr>
      <w:r>
        <w:t>Disease and QTL association summaries were fine-mapped with SuSiE-RSS [8], the summary-data extension of the SuSiE model [6]. The primary PF10 model was evaluated at L=5, 10 and 20; PF50 was evaluated at L=10. Fits used estimate_residual_variance=FALSE, estimate_prior_variance=TRUE, max_iter=2000, tol=1x10^-4, 95% credible sets and minimum absolute within-set correlation of 0.5. Disease sample size was 24,510; QTL sample sizes followed the cell-specific donor counts.</w:t>
      </w:r>
    </w:p>
    <w:p>
      <w:pPr>
        <w:ind w:firstLine="0"/>
        <w:jc w:val="left"/>
      </w:pPr>
      <w:r>
        <w:t>Signal-pair colocalization used coloc.susie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pPr>
        <w:ind w:firstLine="0"/>
        <w:jc w:val="left"/>
      </w:pPr>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ind w:firstLine="0"/>
      </w:pPr>
      <w:r>
        <w:t>Multi-signal diagnostic adjudication</w:t>
      </w:r>
    </w:p>
    <w:p>
      <w:pPr>
        <w:ind w:firstLine="0"/>
        <w:jc w:val="left"/>
      </w:pPr>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ind w:firstLine="0"/>
      </w:pPr>
      <w:r>
        <w:t>Matched-input A0/A1/A2/M attribution design</w:t>
      </w:r>
    </w:p>
    <w:p>
      <w:pPr>
        <w:ind w:firstLine="0"/>
        <w:jc w:val="left"/>
      </w:pPr>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pPr>
        <w:ind w:firstLine="0"/>
        <w:jc w:val="left"/>
      </w:pPr>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pPr>
        <w:ind w:firstLine="0"/>
        <w:jc w:val="left"/>
      </w:pPr>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ind w:firstLine="0"/>
      </w:pPr>
      <w:r>
        <w:t>Simulation design and outcome channels</w:t>
      </w:r>
    </w:p>
    <w:p>
      <w:pPr>
        <w:ind w:firstLine="0"/>
        <w:jc w:val="left"/>
      </w:pPr>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pPr>
        <w:ind w:firstLine="0"/>
        <w:jc w:val="left"/>
      </w:pPr>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pPr>
        <w:ind w:firstLine="0"/>
        <w:jc w:val="left"/>
      </w:pPr>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pPr>
        <w:ind w:firstLine="0"/>
        <w:jc w:val="left"/>
      </w:pPr>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ind w:firstLine="0"/>
      </w:pPr>
      <w:r>
        <w:t>External molecular-QTL evaluation</w:t>
      </w:r>
    </w:p>
    <w:p>
      <w:pPr>
        <w:ind w:firstLine="0"/>
        <w:jc w:val="left"/>
      </w:pPr>
      <w:r>
        <w:t>External evaluation was bounded to the representative IL12RB2-NK and FCRL3 B-cell axes; it was not used to select new genes. TenK10K common-variant cis-eQTL statistics within +/-100 kb were intersected with the same PBC disease summaries [4,16].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pPr>
        <w:ind w:firstLine="0"/>
        <w:jc w:val="left"/>
      </w:pPr>
      <w:r>
        <w:t>FinnGen R12 PBC and molecular-QTL colocalization records were queried through the public outputs of the population-scale immune multiome resource [17]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pPr>
        <w:ind w:firstLine="0"/>
        <w:jc w:val="left"/>
      </w:pPr>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ind w:firstLine="0"/>
      </w:pPr>
      <w:r>
        <w:t>Different-disease-study validation and source credible-set audit</w:t>
      </w:r>
    </w:p>
    <w:p>
      <w:pPr>
        <w:ind w:firstLine="0"/>
        <w:jc w:val="left"/>
      </w:pPr>
      <w:r>
        <w:t>FinnGen R12 and R13 CHIRBIL_PRIM metadata, regional R13 summary statistics and official disease fine-mapping records were obtained from the public release interfaces  (https://r13.finngen.fi/pheno/CHIRBIL_PRIM).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p1=p2=10^-4 and p12=10^-6, 10^-5 or 10^-4. OneK1K QTL credible-set members were then checked directly against the source FinnGen R13 disease credible set.</w:t>
      </w:r>
    </w:p>
    <w:p>
      <w:pPr>
        <w:ind w:firstLine="0"/>
        <w:jc w:val="left"/>
      </w:pPr>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ind w:firstLine="0"/>
      </w:pPr>
      <w:r>
        <w:t>Source-integrated chromatin evidence</w:t>
      </w:r>
    </w:p>
    <w:p>
      <w:pPr>
        <w:ind w:firstLine="0"/>
        <w:jc w:val="left"/>
      </w:pPr>
      <w:r>
        <w:t>Before querying the full CASCADE outputs, we fixed the 92 stable-H4 comparisons, comprising 27 genes and their corresponding broad cell strata. For those genes, we recorded relevant-cell eQTL availability and returned PBC-eQTL colocalization. The IL12RB2-linked peak chr1-67307618-67308670 was prespecified from the earlier source record. We extracted the PBC-eQTL and PBC-caQTL colocalization records in l1.NK, source credible-set membership and the peak-IL12RB2 link [17]. The disease-eQTL and disease-caQTL edges were evaluated separately. A direct eQTL-caQTL posterior was unavailable and was not inferred from overlapping credible sets. The integrated result was classified as triangular signal coherence rather than chromatin mediation.</w:t>
      </w:r>
    </w:p>
    <w:p>
      <w:pPr>
        <w:pStyle w:val="Heading2"/>
        <w:ind w:firstLine="0"/>
      </w:pPr>
      <w:r>
        <w:t>Descriptive spatial-transcriptomic boundary</w:t>
      </w:r>
    </w:p>
    <w:p>
      <w:pPr>
        <w:ind w:firstLine="0"/>
        <w:jc w:val="left"/>
      </w:pPr>
      <w:r>
        <w:t>The public OMIX001122 processed spatial archive was checked at byte level and related to its original PBC study [18] (https://ngdc.cncb.ac.cn/omix/release/OMIX001122).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ind w:firstLine="0"/>
      </w:pPr>
      <w:r>
        <w:t>Donor-level liver target-panel analysis</w:t>
      </w:r>
    </w:p>
    <w:p>
      <w:pPr>
        <w:ind w:firstLine="0"/>
        <w:jc w:val="left"/>
      </w:pPr>
      <w:r>
        <w:t>HRA008003 is an open-access single-cell study of liver and blood in PBC [19] (https://ngdc.cncb.ac.cn/gsa-human/browse/HRA008003). We analyzed liver BAM files from five treatment-naive PBC donors (HRR1849459-HRR1849463) and five non-lesion liver controls obtained during hepatic hemangioma surgery (HRR1849454-HRR1849458). Source sizes and checksums were verified, and each BAM passed samtools quickcheck and tag-schema preflight.</w:t>
      </w:r>
    </w:p>
    <w:p>
      <w:pPr>
        <w:ind w:firstLine="0"/>
        <w:jc w:val="left"/>
      </w:pPr>
      <w:r>
        <w:t>Molecule representatives were counted from records carrying the 10x xf bit 8 flag, a corrected cell barcode and a unique gene assignment; unmapped, secondary and supplementary alignments were excluded. Cell calling used the library-specific order-of-magnitude rule with an expected recovered-cell count of 6,000: the UMI threshold was the ceiling of one tenth of the 99th-percentile count among the 6,000 highest-count barcodes. Called-cell counts had to fall between 2,500 and 7,500, with median total UMI count at least 500. B markers were CD79A, CD79B, MS4A1, CD37, CD74, HLA-DRA, CD19 and CD22; NK markers were NKG7, GNLY, KLRD1, PRF1, GZMB, XCL1 and XCL2. T markers were CD3D, CD3E, TRBC1, TRBC2 and IL7R, and myeloid markers were LST1, TYROBP, FCER1G, CTSS, AIF1 and LYZ. Both lineage rules required at least two detected panel genes and three panel UMIs. B-panel UMIs had to exceed NK, T and myeloid panel counts; NK-panel UMIs had to exceed B and myeloid counts and be at least the T-panel count. Each donor-lineage unit required at least ten cells. Target detectability required at least three target UMIs and two target-positive lineage cells. Target CPM was target UMIs divided by total lineage UMIs multiplied by 10^6.</w:t>
      </w:r>
    </w:p>
    <w:p>
      <w:pPr>
        <w:ind w:firstLine="0"/>
        <w:jc w:val="left"/>
      </w:pPr>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ind w:firstLine="0"/>
      </w:pPr>
      <w:r>
        <w:t>Reproducibility and reporting</w:t>
      </w:r>
    </w:p>
    <w:p>
      <w:pPr>
        <w:ind w:firstLine="0"/>
        <w:jc w:val="left"/>
      </w:pPr>
      <w:r>
        <w:t>External inputs were recorded with accession, URL, byte count and available MD5 or locally calculated SHA-256 values. Large third-party files and donor-level genotype data were not mirrored publicly. Code, aggregate results and source manifests are available in the project repository  (https://github.com/1209433622cz-maker/igan-open-regulatory-evidence/tree/r7c2-q1-journal-audit-dual-track-2026-10-11). Source tables provide the reported estimates and analysis identities, including uncertain and reviewed diagnostic outcomes.</w:t>
      </w:r>
    </w:p>
    <w:p>
      <w:pPr>
        <w:ind w:firstLine="0"/>
        <w:jc w:val="left"/>
      </w:pPr>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2"/>
        <w:ind w:firstLine="0"/>
      </w:pPr>
      <w:r>
        <w:t>Ethics statement</w:t>
      </w:r>
    </w:p>
    <w:p>
      <w:pPr>
        <w:ind w:firstLine="0"/>
        <w:jc w:val="left"/>
      </w:pPr>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1"/>
        <w:ind w:firstLine="0"/>
      </w:pPr>
      <w:r>
        <w:t>Data availability</w:t>
      </w:r>
    </w:p>
    <w:p>
      <w:pPr>
        <w:ind w:firstLine="0"/>
        <w:jc w:val="left"/>
      </w:pPr>
      <w:r>
        <w:t>PBC summary statistics are available through GWAS Catalog study GCST90061440. Study-derived PBC regional statistics and LD are available from the GJOKA archive. OneK1K and TenK10K resources are identified in their cited publications and Zenodo records. FinnGen R13 CHIRBIL_PRIM summary statistics and fine-mapping records are publicly distributed by FinnGen  (https://r13.finngen.fi/pheno/CHIRBIL_PRIM), and CASCADE records are accessible through the FinnGen immune multiome portal [17]. HRA008003 is available through GSA-Human and OMIX001122 through the National Genomics Data Center  (https://ngdc.cncb.ac.cn/omix/release/OMIX001122). Supplementary tables and compact derived outputs accompany this submission. Individual-level genotype, BAM, pseudobulk matrices and third-party source archives are not redistributed.</w:t>
      </w:r>
    </w:p>
    <w:p>
      <w:pPr>
        <w:pStyle w:val="Heading1"/>
        <w:ind w:firstLine="0"/>
      </w:pPr>
      <w:r>
        <w:t>Code availability</w:t>
      </w:r>
    </w:p>
    <w:p>
      <w:pPr>
        <w:ind w:firstLine="0"/>
        <w:jc w:val="left"/>
      </w:pPr>
      <w:r>
        <w:t>Analysis code, frozen protocols, aggregate outputs, manifests and source-bound figures are versioned in the public project repository at https://github.com/1209433622cz-maker/igan-open-regulatory-evidence/tree/r7c2-q1-journal-audit-dual-track-2026-10-11. The release records software environments, checksums and the mapping from manuscript claims to machine-readable evidence.</w:t>
      </w:r>
    </w:p>
    <w:p>
      <w:pPr>
        <w:pStyle w:val="Heading1"/>
        <w:ind w:firstLine="0"/>
      </w:pPr>
      <w:r>
        <w:t>Acknowledgements</w:t>
      </w:r>
    </w:p>
    <w:p>
      <w:pPr>
        <w:ind w:firstLine="0"/>
        <w:jc w:val="left"/>
      </w:pPr>
      <w:r>
        <w:t>This research received no specific grant from any funding agency in the public, commercial or not-for-profit sectors.</w:t>
      </w:r>
    </w:p>
    <w:p>
      <w:pPr>
        <w:pStyle w:val="Heading1"/>
        <w:ind w:firstLine="0"/>
      </w:pPr>
      <w:r>
        <w:t>Author contributions</w:t>
      </w:r>
    </w:p>
    <w:p>
      <w:pPr>
        <w:ind w:firstLine="0"/>
        <w:jc w:val="left"/>
      </w:pPr>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w:t>
      </w:r>
    </w:p>
    <w:p>
      <w:pPr>
        <w:pStyle w:val="Heading1"/>
        <w:ind w:firstLine="0"/>
      </w:pPr>
      <w:r>
        <w:t>Competing interests</w:t>
      </w:r>
    </w:p>
    <w:p>
      <w:pPr>
        <w:ind w:firstLine="0"/>
        <w:jc w:val="left"/>
      </w:pPr>
      <w:r>
        <w:t>The authors declare no competing interests.</w:t>
      </w:r>
    </w:p>
    <w:p>
      <w:pPr>
        <w:pStyle w:val="Heading1"/>
        <w:ind w:firstLine="0"/>
      </w:pPr>
      <w:r>
        <w:t>References</w:t>
      </w:r>
    </w:p>
    <w:p>
      <w:pPr>
        <w:ind w:firstLine="0"/>
        <w:jc w:val="left"/>
      </w:pPr>
      <w:r/>
      <w:r>
        <w:t xml:space="preserve">1. Gulamhusein, A. F. &amp; Hirschfield, G. M. Primary biliary cholangitis: pathogenesis and therapeutic opportunities. </w:t>
      </w:r>
      <w:r>
        <w:rPr>
          <w:i/>
        </w:rPr>
        <w:t>Nat. Rev. Gastroenterol. Hepatol.</w:t>
      </w:r>
      <w:r>
        <w:t xml:space="preserve"> </w:t>
      </w:r>
      <w:r>
        <w:rPr>
          <w:b/>
        </w:rPr>
        <w:t>17</w:t>
      </w:r>
      <w:r>
        <w:t>, 93-110 (2020). https://doi.org/10.1038/s41575-019-0226-7.</w:t>
      </w:r>
    </w:p>
    <w:p>
      <w:pPr>
        <w:ind w:firstLine="0"/>
        <w:jc w:val="left"/>
      </w:pPr>
      <w:r/>
      <w:r>
        <w:t xml:space="preserve">2. Cordell, H. J. et al. An international genome-wide meta-analysis of primary biliary cholangitis: Novel risk loci and candidate drugs. </w:t>
      </w:r>
      <w:r>
        <w:rPr>
          <w:i/>
        </w:rPr>
        <w:t>J. Hepatol.</w:t>
      </w:r>
      <w:r>
        <w:t xml:space="preserve"> </w:t>
      </w:r>
      <w:r>
        <w:rPr>
          <w:b/>
        </w:rPr>
        <w:t>75</w:t>
      </w:r>
      <w:r>
        <w:t>, 572-581 (2021). https://doi.org/10.1016/j.jhep.2021.04.055.</w:t>
      </w:r>
    </w:p>
    <w:p>
      <w:pPr>
        <w:ind w:firstLine="0"/>
        <w:jc w:val="left"/>
      </w:pPr>
      <w:r/>
      <w:r>
        <w:t xml:space="preserve">3. Yazar, S. et al. Single-cell eQTL mapping identifies cell type-specific genetic control of autoimmune disease. </w:t>
      </w:r>
      <w:r>
        <w:rPr>
          <w:i/>
        </w:rPr>
        <w:t>Science</w:t>
      </w:r>
      <w:r>
        <w:t xml:space="preserve"> </w:t>
      </w:r>
      <w:r>
        <w:rPr>
          <w:b/>
        </w:rPr>
        <w:t>376</w:t>
      </w:r>
      <w:r>
        <w:t>, eabf3041 (2022). https://doi.org/10.1126/science.abf3041.</w:t>
      </w:r>
    </w:p>
    <w:p>
      <w:pPr>
        <w:ind w:firstLine="0"/>
        <w:jc w:val="left"/>
      </w:pPr>
      <w:r>
        <w:t>4. Cuomo, A. S. E. et al. Impact of rare and common genetic variation on cell type-specific gene expression in human blood. Preprint at https://doi.org/10.1101/2025.03.20.25324352 (2025).</w:t>
      </w:r>
    </w:p>
    <w:p>
      <w:pPr>
        <w:ind w:firstLine="0"/>
        <w:jc w:val="left"/>
      </w:pPr>
      <w:r/>
      <w:r>
        <w:t xml:space="preserve">5. Giambartolomei, C. et al. Bayesian Test for Colocalisation between Pairs of Genetic Association Studies Using Summary Statistics. </w:t>
      </w:r>
      <w:r>
        <w:rPr>
          <w:i/>
        </w:rPr>
        <w:t>PLoS Genet.</w:t>
      </w:r>
      <w:r>
        <w:t xml:space="preserve"> </w:t>
      </w:r>
      <w:r>
        <w:rPr>
          <w:b/>
        </w:rPr>
        <w:t>10</w:t>
      </w:r>
      <w:r>
        <w:t>, e1004383 (2014). https://doi.org/10.1371/journal.pgen.1004383.</w:t>
      </w:r>
    </w:p>
    <w:p>
      <w:pPr>
        <w:ind w:firstLine="0"/>
        <w:jc w:val="left"/>
      </w:pPr>
      <w:r/>
      <w:r>
        <w:t xml:space="preserve">6. Wang, G., Sarkar, A., Carbonetto, P. &amp; Stephens, M. A Simple New Approach to Variable Selection in Regression, with Application to Genetic Fine Mapping. </w:t>
      </w:r>
      <w:r>
        <w:rPr>
          <w:i/>
        </w:rPr>
        <w:t>J. R. Stat. Soc. B</w:t>
      </w:r>
      <w:r>
        <w:t xml:space="preserve"> </w:t>
      </w:r>
      <w:r>
        <w:rPr>
          <w:b/>
        </w:rPr>
        <w:t>82</w:t>
      </w:r>
      <w:r>
        <w:t>, 1273-1300 (2020). https://doi.org/10.1111/rssb.12388.</w:t>
      </w:r>
    </w:p>
    <w:p>
      <w:pPr>
        <w:ind w:firstLine="0"/>
        <w:jc w:val="left"/>
      </w:pPr>
      <w:r/>
      <w:r>
        <w:t xml:space="preserve">7. Wallace, C. A more accurate method for colocalisation analysis allowing for multiple causal variants. </w:t>
      </w:r>
      <w:r>
        <w:rPr>
          <w:i/>
        </w:rPr>
        <w:t>PLoS Genet.</w:t>
      </w:r>
      <w:r>
        <w:t xml:space="preserve"> </w:t>
      </w:r>
      <w:r>
        <w:rPr>
          <w:b/>
        </w:rPr>
        <w:t>17</w:t>
      </w:r>
      <w:r>
        <w:t>, e1009440 (2021). https://doi.org/10.1371/journal.pgen.1009440.</w:t>
      </w:r>
    </w:p>
    <w:p>
      <w:pPr>
        <w:ind w:firstLine="0"/>
        <w:jc w:val="left"/>
      </w:pPr>
      <w:r/>
      <w:r>
        <w:t xml:space="preserve">8. Zou, Y., Carbonetto, P., Wang, G. &amp; Stephens, M. Fine-mapping from summary data with the “Sum of Single Effects” model. </w:t>
      </w:r>
      <w:r>
        <w:rPr>
          <w:i/>
        </w:rPr>
        <w:t>PLoS Genet.</w:t>
      </w:r>
      <w:r>
        <w:t xml:space="preserve"> </w:t>
      </w:r>
      <w:r>
        <w:rPr>
          <w:b/>
        </w:rPr>
        <w:t>18</w:t>
      </w:r>
      <w:r>
        <w:t>, e1010299 (2022). https://doi.org/10.1371/journal.pgen.1010299.</w:t>
      </w:r>
    </w:p>
    <w:p>
      <w:pPr>
        <w:ind w:firstLine="0"/>
        <w:jc w:val="left"/>
      </w:pPr>
      <w:r/>
      <w:r>
        <w:t xml:space="preserve">9. Wang, Q., Yan, H., Wang, N. &amp; Yuan, J. Causal genetics prioritizes therapeutic targets and blood signatures in primary biliary cholangitis. </w:t>
      </w:r>
      <w:r>
        <w:rPr>
          <w:i/>
        </w:rPr>
        <w:t>npj Syst. Biol. Appl.</w:t>
      </w:r>
      <w:r>
        <w:t xml:space="preserve"> (2026). https://doi.org/10.1038/s41540-026-00817-w.</w:t>
      </w:r>
    </w:p>
    <w:p>
      <w:pPr>
        <w:ind w:firstLine="0"/>
        <w:jc w:val="left"/>
      </w:pPr>
      <w:r/>
      <w:r>
        <w:t xml:space="preserve">10. Lin, Y. et al. Genetic mechanisms of primary biliary cholangitis and its association with immune cells using mendelian randomization and biological annotation. </w:t>
      </w:r>
      <w:r>
        <w:rPr>
          <w:i/>
        </w:rPr>
        <w:t>Medicine</w:t>
      </w:r>
      <w:r>
        <w:t xml:space="preserve"> </w:t>
      </w:r>
      <w:r>
        <w:rPr>
          <w:b/>
        </w:rPr>
        <w:t>105</w:t>
      </w:r>
      <w:r>
        <w:t>, e49146 (2026). https://doi.org/10.1097/MD.0000000000049146.</w:t>
      </w:r>
    </w:p>
    <w:p>
      <w:pPr>
        <w:ind w:firstLine="0"/>
        <w:jc w:val="left"/>
      </w:pPr>
      <w:r/>
      <w:r>
        <w:t xml:space="preserve">11. Han, Z. et al. FCRL3 as a potential link between Benzo[a]pyrene exposure and primary biliary cholangitis: insights from comparative toxicogenomics and multi-omics analysis. </w:t>
      </w:r>
      <w:r>
        <w:rPr>
          <w:i/>
        </w:rPr>
        <w:t>BMC Gastroenterol.</w:t>
      </w:r>
      <w:r>
        <w:t xml:space="preserve"> </w:t>
      </w:r>
      <w:r>
        <w:rPr>
          <w:b/>
        </w:rPr>
        <w:t>26</w:t>
      </w:r>
      <w:r>
        <w:t>, 101 (2026). https://doi.org/10.1186/s12876-026-04614-x.</w:t>
      </w:r>
    </w:p>
    <w:p>
      <w:pPr>
        <w:ind w:firstLine="0"/>
        <w:jc w:val="left"/>
      </w:pPr>
      <w:r/>
      <w:r>
        <w:t xml:space="preserve">12. Xi, J. et al. Exploration and discovery of treatment targets for primary biliary cholangitis based on plasma and cerebrospinal fluid proteomics: A multicenter mendelian randomization study. </w:t>
      </w:r>
      <w:r>
        <w:rPr>
          <w:i/>
        </w:rPr>
        <w:t>PLoS One</w:t>
      </w:r>
      <w:r>
        <w:t xml:space="preserve"> </w:t>
      </w:r>
      <w:r>
        <w:rPr>
          <w:b/>
        </w:rPr>
        <w:t>21</w:t>
      </w:r>
      <w:r>
        <w:t>, e0340166 (2026). https://doi.org/10.1371/journal.pone.0340166.</w:t>
      </w:r>
    </w:p>
    <w:p>
      <w:pPr>
        <w:ind w:firstLine="0"/>
        <w:jc w:val="left"/>
      </w:pPr>
      <w:r/>
      <w:r>
        <w:t xml:space="preserve">13. Gjoka, A. &amp; Cordell, H. J. Fine‐Mapping the Results From Genome‐Wide Association Studies of Primary Biliary Cholangitis Using SuSiE and h2‐D2. </w:t>
      </w:r>
      <w:r>
        <w:rPr>
          <w:i/>
        </w:rPr>
        <w:t>Genet. Epidemiol.</w:t>
      </w:r>
      <w:r>
        <w:t xml:space="preserve"> </w:t>
      </w:r>
      <w:r>
        <w:rPr>
          <w:b/>
        </w:rPr>
        <w:t>49</w:t>
      </w:r>
      <w:r>
        <w:t>, e22592 (2025). https://doi.org/10.1002/gepi.22592.</w:t>
      </w:r>
    </w:p>
    <w:p>
      <w:pPr>
        <w:ind w:firstLine="0"/>
        <w:jc w:val="left"/>
      </w:pPr>
      <w:r/>
      <w:r>
        <w:t xml:space="preserve">14. Xue, A. et al. Genetic variants associated with cell-type-specific intra-individual gene expression variability reveal mechanisms of genome regulation. </w:t>
      </w:r>
      <w:r>
        <w:rPr>
          <w:i/>
        </w:rPr>
        <w:t>Nat. Commun.</w:t>
      </w:r>
      <w:r>
        <w:t xml:space="preserve"> (2026). https://doi.org/10.1038/s41467-026-77453-9.</w:t>
      </w:r>
    </w:p>
    <w:p>
      <w:pPr>
        <w:ind w:firstLine="0"/>
        <w:jc w:val="left"/>
      </w:pPr>
      <w:r>
        <w:t>15. Xue, A. et al. OneK1K cell-specific cis-eQTL summary statistics, genotypes and covariates. Zenodo https://doi.org/10.5281/zenodo.18910121 (2026).</w:t>
      </w:r>
    </w:p>
    <w:p>
      <w:pPr>
        <w:ind w:firstLine="0"/>
        <w:jc w:val="left"/>
      </w:pPr>
      <w:r>
        <w:t>16. Cuomo, A. S. E. et al. TenK10K phase 1 molecular-QTL and fine-mapping resources. Zenodo https://doi.org/10.5281/zenodo.18221260 (2026).</w:t>
      </w:r>
    </w:p>
    <w:p>
      <w:pPr>
        <w:ind w:firstLine="0"/>
        <w:jc w:val="left"/>
      </w:pPr>
      <w:r/>
      <w:r>
        <w:t xml:space="preserve">17. Kanai, M. et al. Population-scale immune multiome atlas reveals regulatory disease mechanisms. </w:t>
      </w:r>
      <w:r>
        <w:rPr>
          <w:i/>
        </w:rPr>
        <w:t>Nature</w:t>
      </w:r>
      <w:r>
        <w:t xml:space="preserve"> (2026). https://doi.org/10.1038/s41586-026-11078-2.</w:t>
      </w:r>
    </w:p>
    <w:p>
      <w:pPr>
        <w:ind w:firstLine="0"/>
        <w:jc w:val="left"/>
      </w:pPr>
      <w:r/>
      <w:r>
        <w:t xml:space="preserve">18. Li, X. et al. Unique DUOX2+ACE2+ small cholangiocytes are pathogenic targets for primary biliary cholangitis. </w:t>
      </w:r>
      <w:r>
        <w:rPr>
          <w:i/>
        </w:rPr>
        <w:t>Nat. Commun.</w:t>
      </w:r>
      <w:r>
        <w:t xml:space="preserve"> </w:t>
      </w:r>
      <w:r>
        <w:rPr>
          <w:b/>
        </w:rPr>
        <w:t>14</w:t>
      </w:r>
      <w:r>
        <w:t>, 29 (2023). https://doi.org/10.1038/s41467-022-34606-w.</w:t>
      </w:r>
    </w:p>
    <w:p>
      <w:pPr>
        <w:ind w:firstLine="0"/>
        <w:jc w:val="left"/>
      </w:pPr>
      <w:r/>
      <w:r>
        <w:t xml:space="preserve">19. Jin, C. et al. Single-cell RNA sequencing reveals the pro-inflammatory roles of liver-resident Th1-like cells in primary biliary cholangitis. </w:t>
      </w:r>
      <w:r>
        <w:rPr>
          <w:i/>
        </w:rPr>
        <w:t>Nat. Commun.</w:t>
      </w:r>
      <w:r>
        <w:t xml:space="preserve"> </w:t>
      </w:r>
      <w:r>
        <w:rPr>
          <w:b/>
        </w:rPr>
        <w:t>15</w:t>
      </w:r>
      <w:r>
        <w:t>, 8690 (2024). https://doi.org/10.1038/s41467-024-53104-9.</w:t>
      </w:r>
    </w:p>
    <w:p>
      <w:pPr>
        <w:ind w:firstLine="0"/>
        <w:jc w:val="left"/>
      </w:pPr>
      <w:r/>
    </w:p>
    <w:p>
      <w:pPr>
        <w:pStyle w:val="Heading1"/>
        <w:keepNext/>
        <w:pageBreakBefore/>
        <w:ind w:firstLine="0"/>
      </w:pPr>
      <w:r>
        <w:t>Figure legends</w:t>
      </w:r>
    </w:p>
    <w:p>
      <w:pPr>
        <w:keepNext/>
        <w:keepLines/>
        <w:pageBreakBefore w:val="0"/>
        <w:ind w:firstLine="0"/>
        <w:jc w:val="left"/>
      </w:pPr>
      <w:r>
        <w:drawing>
          <wp:inline xmlns:a="http://schemas.openxmlformats.org/drawingml/2006/main" xmlns:pic="http://schemas.openxmlformats.org/drawingml/2006/picture">
            <wp:extent cx="5897880" cy="4083872"/>
            <wp:docPr id="1" name="Picture 1" descr="Figure 1: source-derived statistical panels; see following legend for units, methods and boundaries."/>
            <wp:cNvGraphicFramePr>
              <a:graphicFrameLocks noChangeAspect="1"/>
            </wp:cNvGraphicFramePr>
            <a:graphic>
              <a:graphicData uri="http://schemas.openxmlformats.org/drawingml/2006/picture">
                <pic:pic>
                  <pic:nvPicPr>
                    <pic:cNvPr id="0" name="Figure1_study_scope_and_model_integrity.png"/>
                    <pic:cNvPicPr/>
                  </pic:nvPicPr>
                  <pic:blipFill>
                    <a:blip r:embed="rId10"/>
                    <a:stretch>
                      <a:fillRect/>
                    </a:stretch>
                  </pic:blipFill>
                  <pic:spPr>
                    <a:xfrm>
                      <a:off x="0" y="0"/>
                      <a:ext cx="5897880" cy="4083872"/>
                    </a:xfrm>
                    <a:prstGeom prst="rect"/>
                  </pic:spPr>
                </pic:pic>
              </a:graphicData>
            </a:graphic>
          </wp:inline>
        </w:drawing>
      </w:r>
    </w:p>
    <w:p>
      <w:pPr>
        <w:pStyle w:val="FigureCaption"/>
        <w:keepNext/>
        <w:ind w:firstLine="0"/>
      </w:pPr>
      <w:r/>
      <w:r>
        <w:rPr>
          <w:b/>
        </w:rPr>
        <w:t>Figure 1. Study scope, bounded follow-up and model-integrity gates.</w:t>
      </w:r>
      <w:r>
        <w:t xml:space="preserve"> (a) The frozen registry contained 6,923 locus–gene–cell comparisons; 5,460 were ABF-eligible, and 642 entered the high-information multi-signal analysis. (b) The 642 comparisons consisted of 184 primary H4/ambiguity triggers, 455 H3-focused falsification comparisons and three borderline cases. (c) Primary PF10 multi-signal outcomes were H4 support (92), H3 support (428), model-sensitive (59) or uninformative (63). (d) The initial identity gate evaluated 14 comparison–model rows from seven targeted comparisons, whereas the expanded kriging audit evaluated 2,568 comparison–model–trait units. These are different counting units, not numbers of cell types. One qualifying kriging event was reviewed and retained without a diagnostic-triggered refit.</w:t>
      </w:r>
    </w:p>
    <w:p>
      <w:pPr>
        <w:pStyle w:val="FigureCaption"/>
        <w:keepNext w:val="0"/>
        <w:spacing w:after="220"/>
        <w:ind w:firstLine="0"/>
      </w:pPr>
      <w:r>
        <w:t>Abbreviations: ABF, approximate Bayes factor; CS, credible set; H3, different-signal hypothesis; H4, shared-signal hypothesis; PF10, model with ten expression factors; PBC, primary biliary cholangitis; PF50, model with 50 expression factors.</w:t>
      </w:r>
    </w:p>
    <w:p>
      <w:pPr>
        <w:ind w:firstLine="0"/>
        <w:jc w:val="left"/>
      </w:pPr>
      <w:r/>
    </w:p>
    <w:p>
      <w:pPr>
        <w:keepNext/>
        <w:keepLines/>
        <w:pageBreakBefore/>
        <w:ind w:firstLine="0"/>
        <w:jc w:val="left"/>
      </w:pPr>
      <w:r>
        <w:drawing>
          <wp:inline xmlns:a="http://schemas.openxmlformats.org/drawingml/2006/main" xmlns:pic="http://schemas.openxmlformats.org/drawingml/2006/picture">
            <wp:extent cx="5897880" cy="3526883"/>
            <wp:docPr id="2" name="Picture 2" descr="Figure 2: source-derived statistical panels; see following legend for units, methods and boundaries."/>
            <wp:cNvGraphicFramePr>
              <a:graphicFrameLocks noChangeAspect="1"/>
            </wp:cNvGraphicFramePr>
            <a:graphic>
              <a:graphicData uri="http://schemas.openxmlformats.org/drawingml/2006/picture">
                <pic:pic>
                  <pic:nvPicPr>
                    <pic:cNvPr id="0" name="Figure2_input_matched_reclassification.png"/>
                    <pic:cNvPicPr/>
                  </pic:nvPicPr>
                  <pic:blipFill>
                    <a:blip r:embed="rId11"/>
                    <a:stretch>
                      <a:fillRect/>
                    </a:stretch>
                  </pic:blipFill>
                  <pic:spPr>
                    <a:xfrm>
                      <a:off x="0" y="0"/>
                      <a:ext cx="5897880" cy="3526883"/>
                    </a:xfrm>
                    <a:prstGeom prst="rect"/>
                  </pic:spPr>
                </pic:pic>
              </a:graphicData>
            </a:graphic>
          </wp:inline>
        </w:drawing>
      </w:r>
    </w:p>
    <w:p>
      <w:pPr>
        <w:pStyle w:val="FigureCaption"/>
        <w:keepNext/>
        <w:ind w:firstLine="0"/>
      </w:pPr>
      <w:r/>
      <w:r>
        <w:rPr>
          <w:b/>
        </w:rPr>
        <w:t>Figure 2. Matched inputs explain part, but not all, of bidirectional reclassification.</w:t>
      </w:r>
      <w:r>
        <w:t xml:space="preserve"> (a) Across all 642 comparisons, restricting the historical single-causal ABF variant set (S_A) to the actual multi-signal intersection (S_M) removed 19–114 variants (median 65). (b) A0→A1 and A1→A2 changed 15 and 19 categorical states, respectively; affected comparisons may overlap, so the totals are not additive. (c) Full A2→M transition counts on the same disease-statistic definition and variant intersection; M retains the frozen PF10 multi-signal model. (d) Of 113 A2 H4 comparisons, 79 retained H4 and eight had stable H3 support; of 452 A2 H3 comparisons, ten gained H4 support. These are model-state transitions, not known-truth error rates. (e) PF10/PF50 agreement was assessed only among 520 comparisons with definite PF10 H4/H3 status: 491 matched, four differed and 25 were PF50-uninformative. (f) Of 92 H4-supported comparisons, 60 had no qualifying H3 pair and 32 also had a qualifying distinct-signal pair under the frozen thresholds.</w:t>
      </w:r>
    </w:p>
    <w:p>
      <w:pPr>
        <w:pStyle w:val="FigureCaption"/>
        <w:keepNext w:val="0"/>
        <w:spacing w:after="220"/>
        <w:ind w:firstLine="0"/>
      </w:pPr>
      <w:r>
        <w:t>Abbreviations: A0, historical ABF; A1, support-set-matched ABF; A2, support- and disease-statistic-matched ABF; M, frozen multi-signal analysis; H3/H4, alternative colocalization hypotheses; L, maximum number of SuSiE effects; PF10/PF50, models with ten/50 expression factors.</w:t>
      </w:r>
    </w:p>
    <w:p>
      <w:pPr>
        <w:ind w:firstLine="0"/>
        <w:jc w:val="left"/>
      </w:pPr>
      <w:r/>
    </w:p>
    <w:p>
      <w:pPr>
        <w:keepNext/>
        <w:keepLines/>
        <w:pageBreakBefore/>
        <w:ind w:firstLine="0"/>
        <w:jc w:val="left"/>
      </w:pPr>
      <w:r>
        <w:drawing>
          <wp:inline xmlns:a="http://schemas.openxmlformats.org/drawingml/2006/main" xmlns:pic="http://schemas.openxmlformats.org/drawingml/2006/picture">
            <wp:extent cx="5897880" cy="4115295"/>
            <wp:docPr id="3" name="Picture 3" descr="Figure 3: source-derived statistical panels; see following legend for units, methods and boundaries."/>
            <wp:cNvGraphicFramePr>
              <a:graphicFrameLocks noChangeAspect="1"/>
            </wp:cNvGraphicFramePr>
            <a:graphic>
              <a:graphicData uri="http://schemas.openxmlformats.org/drawingml/2006/picture">
                <pic:pic>
                  <pic:nvPicPr>
                    <pic:cNvPr id="0" name="Figure3_simulation_discovery_and_inference.png"/>
                    <pic:cNvPicPr/>
                  </pic:nvPicPr>
                  <pic:blipFill>
                    <a:blip r:embed="rId12"/>
                    <a:stretch>
                      <a:fillRect/>
                    </a:stretch>
                  </pic:blipFill>
                  <pic:spPr>
                    <a:xfrm>
                      <a:off x="0" y="0"/>
                      <a:ext cx="5897880" cy="4115295"/>
                    </a:xfrm>
                    <a:prstGeom prst="rect"/>
                  </pic:spPr>
                </pic:pic>
              </a:graphicData>
            </a:graphic>
          </wp:inline>
        </w:drawing>
      </w:r>
    </w:p>
    <w:p>
      <w:pPr>
        <w:pStyle w:val="FigureCaption"/>
        <w:keepNext/>
        <w:ind w:firstLine="0"/>
      </w:pPr>
      <w:r/>
      <w:r>
        <w:rPr>
          <w:b/>
        </w:rPr>
        <w:t>Figure 3. Simulation separates credible-set discovery from pair-conditional inference.</w:t>
      </w:r>
      <w:r>
        <w:t xml:space="preserve"> The primary simulation comprised 486,000 iterations across six frozen scenarios using two empirical 128-variant LD templates. (a) Scenario-specific outcome channels, separating lack of a disease/QTL credible set from an evaluable signal pair. (b) Pair-evaluable rate and unconditional versus pair-conditional H4 decision rates. Across all iterations, 160,782 (33.08%) produced an evaluable signal pair. (c) Unconditional H4 decisions from single-causal ABF and matched multi-signal analysis; S2 and S5 have distinct causal signals, whereas the other four scenarios include a shared signal. A lower false-H4 rate coincided with lower shared-signal recovery. (d) Aggregate reasons for non-evaluable iterations. The primary matched branch recorded no technical errors or instances where both traits had credible sets but no evaluable pair. These results evaluate single-configuration components, not the complete cross-L/low-prior decision gate.</w:t>
      </w:r>
    </w:p>
    <w:p>
      <w:pPr>
        <w:pStyle w:val="FigureCaption"/>
        <w:keepNext w:val="0"/>
        <w:spacing w:after="220"/>
        <w:ind w:firstLine="0"/>
      </w:pPr>
      <w:r>
        <w:t>Abbreviations: CS, credible set; H4, shared-signal hypothesis; LD, linkage disequilibrium; S1–S6, six prespecified simulation architectures defined in Methods; QTL, quantitative-trait locus.</w:t>
      </w:r>
    </w:p>
    <w:p>
      <w:pPr>
        <w:ind w:firstLine="0"/>
        <w:jc w:val="left"/>
      </w:pPr>
      <w:r/>
    </w:p>
    <w:p>
      <w:pPr>
        <w:keepNext/>
        <w:keepLines/>
        <w:pageBreakBefore/>
        <w:ind w:firstLine="0"/>
        <w:jc w:val="left"/>
      </w:pPr>
      <w:r>
        <w:drawing>
          <wp:inline xmlns:a="http://schemas.openxmlformats.org/drawingml/2006/main" xmlns:pic="http://schemas.openxmlformats.org/drawingml/2006/picture">
            <wp:extent cx="5897880" cy="4389632"/>
            <wp:docPr id="4" name="Picture 4" descr="Figure 4: source-derived statistical panels; see following legend for units, methods and boundaries."/>
            <wp:cNvGraphicFramePr>
              <a:graphicFrameLocks noChangeAspect="1"/>
            </wp:cNvGraphicFramePr>
            <a:graphic>
              <a:graphicData uri="http://schemas.openxmlformats.org/drawingml/2006/picture">
                <pic:pic>
                  <pic:nvPicPr>
                    <pic:cNvPr id="0" name="Figure4_IL12RB2_external_evidence.png"/>
                    <pic:cNvPicPr/>
                  </pic:nvPicPr>
                  <pic:blipFill>
                    <a:blip r:embed="rId13"/>
                    <a:stretch>
                      <a:fillRect/>
                    </a:stretch>
                  </pic:blipFill>
                  <pic:spPr>
                    <a:xfrm>
                      <a:off x="0" y="0"/>
                      <a:ext cx="5897880" cy="4389632"/>
                    </a:xfrm>
                    <a:prstGeom prst="rect"/>
                  </pic:spPr>
                </pic:pic>
              </a:graphicData>
            </a:graphic>
          </wp:inline>
        </w:drawing>
      </w:r>
    </w:p>
    <w:p>
      <w:pPr>
        <w:pStyle w:val="FigureCaption"/>
        <w:keepNext/>
        <w:ind w:firstLine="0"/>
      </w:pPr>
      <w:r/>
      <w:r>
        <w:rPr>
          <w:b/>
        </w:rPr>
        <w:t>Figure 4. IL12RB2–NK gains external disease-study and chromatin support within bounded claims.</w:t>
      </w:r>
      <w:r>
        <w:t xml:space="preserve"> (a) Comparison of source disease credible-set members and inclusion probabilities in the FinnGen R12 and R13 IL12RB2 region. (b) FinnGen R13 PBC summary statistics evaluated against the frozen OneK1K NK-cell IL12RB2 QTL using single-causal colocalization over the prespecified p12 sensitivity series. The disease study systems differ, but participant-level non-overlap was not established, and this is not a second multi-signal QTL-side analysis. (c) Prespecified 27-gene CASCADE resource-coverage assessment, with disease–eQTL colocalization reported only where returned. (d) PBC–eQTL, PBC–caQTL and peak–gene evidence shown as separate inferential edges. A direct eQTL–caQTL posterior and mediation estimate were unavailable. OMIX001122, containing one processed PBC and one control matrix, was used only for descriptive detectability, not independent spatial replication. Arrows denote reported association or peak-gene links, not the direction of a causal effect.</w:t>
      </w:r>
    </w:p>
    <w:p>
      <w:pPr>
        <w:pStyle w:val="FigureCaption"/>
        <w:keepNext w:val="0"/>
        <w:spacing w:after="220"/>
        <w:ind w:firstLine="0"/>
      </w:pPr>
      <w:r>
        <w:t>Abbreviations: caQTL, chromatin-accessibility quantitative-trait locus; CS, credible set; eQTL, expression quantitative-trait locus; PBC, primary biliary cholangitis; p12, prior probability of shared association; NK, natural killer cells; PP.H4, posterior probability of the shared-signal hypothesis.</w:t>
      </w:r>
    </w:p>
    <w:p>
      <w:pPr>
        <w:ind w:firstLine="0"/>
        <w:jc w:val="left"/>
      </w:pPr>
      <w:r/>
    </w:p>
    <w:p>
      <w:pPr>
        <w:keepNext/>
        <w:keepLines/>
        <w:pageBreakBefore/>
        <w:ind w:firstLine="0"/>
        <w:jc w:val="left"/>
      </w:pPr>
      <w:r>
        <w:drawing>
          <wp:inline xmlns:a="http://schemas.openxmlformats.org/drawingml/2006/main" xmlns:pic="http://schemas.openxmlformats.org/drawingml/2006/picture">
            <wp:extent cx="5897880" cy="4091842"/>
            <wp:docPr id="5" name="Picture 5" descr="Figure 5: source-derived statistical panels; see following legend for units, methods and boundaries."/>
            <wp:cNvGraphicFramePr>
              <a:graphicFrameLocks noChangeAspect="1"/>
            </wp:cNvGraphicFramePr>
            <a:graphic>
              <a:graphicData uri="http://schemas.openxmlformats.org/drawingml/2006/picture">
                <pic:pic>
                  <pic:nvPicPr>
                    <pic:cNvPr id="0" name="Figure5_FCRL3_support_and_counterexample.png"/>
                    <pic:cNvPicPr/>
                  </pic:nvPicPr>
                  <pic:blipFill>
                    <a:blip r:embed="rId14"/>
                    <a:stretch>
                      <a:fillRect/>
                    </a:stretch>
                  </pic:blipFill>
                  <pic:spPr>
                    <a:xfrm>
                      <a:off x="0" y="0"/>
                      <a:ext cx="5897880" cy="4091842"/>
                    </a:xfrm>
                    <a:prstGeom prst="rect"/>
                  </pic:spPr>
                </pic:pic>
              </a:graphicData>
            </a:graphic>
          </wp:inline>
        </w:drawing>
      </w:r>
    </w:p>
    <w:p>
      <w:pPr>
        <w:pStyle w:val="FigureCaption"/>
        <w:keepNext/>
        <w:ind w:firstLine="0"/>
      </w:pPr>
      <w:r/>
      <w:r>
        <w:rPr>
          <w:b/>
        </w:rPr>
        <w:t>Figure 5. FCRL3 combines reproducible B-cell sharing with a T-cell model-sensitivity counterexample.</w:t>
      </w:r>
      <w:r>
        <w:t xml:space="preserve"> (a) Representative cell-context-specific best signal-pair PP.H4 values in current-release OneK1K PF10 analysis, including intermediate B, memory B and CD8 effector T cells. (b) Molecular-QTL resource support in OneK B-cell contexts and TenK intermediate B cells; disease GWAS was reused in the TenK comparison, so this is not independent disease-cohort replication. (c) FCRL3–CD8_ET ABF posteriors from A0, A1 and A2 were 0.9413346827, 0.9413349988 and 0.9492605462, respectively. The primary PF10 multi-signal model supported H3, while the PF50 sensitivity analysis supported H4. The example therefore demonstrates a model-dependent comparison, not an unambiguous biological negative. (d) Claim boundary distinguishing B-cell sharing, CD8 context sensitivity and external data coverage.</w:t>
      </w:r>
    </w:p>
    <w:p>
      <w:pPr>
        <w:pStyle w:val="FigureCaption"/>
        <w:keepNext w:val="0"/>
        <w:spacing w:after="220"/>
        <w:ind w:firstLine="0"/>
      </w:pPr>
      <w:r>
        <w:t>Abbreviations: ABF, approximate Bayes factor; B_IN, intermediate B cells; B_MEM, memory B cells; CD8_ET, effector CD8 T cells; PP.H4, posterior probability of hypothesis H4; A0, historical ABF; A1, support-set-matched ABF; A2, support- and disease-statistic-matched ABF; M, multi-signal analysis; PF10/PF50, models with ten/50 expression factors.</w:t>
      </w:r>
    </w:p>
    <w:p>
      <w:pPr>
        <w:ind w:firstLine="0"/>
        <w:jc w:val="left"/>
      </w:pPr>
      <w:r/>
    </w:p>
    <w:p>
      <w:pPr>
        <w:keepNext/>
        <w:keepLines/>
        <w:pageBreakBefore/>
        <w:ind w:firstLine="0"/>
        <w:jc w:val="left"/>
      </w:pPr>
      <w:r>
        <w:drawing>
          <wp:inline xmlns:a="http://schemas.openxmlformats.org/drawingml/2006/main" xmlns:pic="http://schemas.openxmlformats.org/drawingml/2006/picture">
            <wp:extent cx="5897880" cy="2100441"/>
            <wp:docPr id="6" name="Picture 6" descr="Figure 6: source-derived statistical panels; see following legend for units, methods and boundaries."/>
            <wp:cNvGraphicFramePr>
              <a:graphicFrameLocks noChangeAspect="1"/>
            </wp:cNvGraphicFramePr>
            <a:graphic>
              <a:graphicData uri="http://schemas.openxmlformats.org/drawingml/2006/picture">
                <pic:pic>
                  <pic:nvPicPr>
                    <pic:cNvPr id="0" name="Figure6_liver_tissue_boundary.png"/>
                    <pic:cNvPicPr/>
                  </pic:nvPicPr>
                  <pic:blipFill>
                    <a:blip r:embed="rId15"/>
                    <a:stretch>
                      <a:fillRect/>
                    </a:stretch>
                  </pic:blipFill>
                  <pic:spPr>
                    <a:xfrm>
                      <a:off x="0" y="0"/>
                      <a:ext cx="5897880" cy="2100441"/>
                    </a:xfrm>
                    <a:prstGeom prst="rect"/>
                  </pic:spPr>
                </pic:pic>
              </a:graphicData>
            </a:graphic>
          </wp:inline>
        </w:drawing>
      </w:r>
    </w:p>
    <w:p>
      <w:pPr>
        <w:pStyle w:val="FigureCaption"/>
        <w:keepNext/>
        <w:ind w:firstLine="0"/>
      </w:pPr>
      <w:r/>
      <w:r>
        <w:rPr>
          <w:b/>
        </w:rPr>
        <w:t>Figure 6. Liver target-lineage expression is detectable without corrected PBC-specific enrichment.</w:t>
      </w:r>
      <w:r>
        <w:t xml:space="preserve"> (a) FCRL3 B-lineage and (b) IL12RB2 NK-lineage donor-level log1p counts per million (CPM) in five PBC and five non-lesion liver control donors; each point represents one donor, not one cell. Target–lineage pairs were detectable in all ten donors. FCRL3 was directionally lower in PBC (exact P=0.1111), and IL12RB2 was directionally higher (exact P=0.06349), but neither passed two-target Benjamini–Hochberg correction (both q=0.1111). (c) Evidence boundary: lineage observability does not demonstrate case-specific expression enrichment, genetic mediation or a therapeutic mechanism. Controls were non-lesion liver samples from hepatic hemangioma surgery rather than disease-free population controls. Boxes show the interquartile range, centre lines the median, and whiskers extend to the most extreme observations within 1.5 times the interquartile range. All donor observations are overlaid.</w:t>
      </w:r>
    </w:p>
    <w:p>
      <w:pPr>
        <w:pStyle w:val="FigureCaption"/>
        <w:keepNext w:val="0"/>
        <w:spacing w:after="220"/>
        <w:ind w:firstLine="0"/>
      </w:pPr>
      <w:r>
        <w:t>Abbreviations: BH, Benjamini–Hochberg procedure; CPM, counts per million; PBC, primary biliary cholangitis. Exact two-sided tests use all 252 possible assignments of five donors to the PBC group.</w:t>
      </w:r>
    </w:p>
    <w:p>
      <w:pPr>
        <w:pStyle w:val="Heading1"/>
        <w:ind w:firstLine="0"/>
      </w:pPr>
      <w:r>
        <w:t>Supplementary information</w:t>
      </w:r>
    </w:p>
    <w:p>
      <w:pPr>
        <w:ind w:firstLine="0"/>
        <w:jc w:val="left"/>
      </w:pPr>
      <w:r>
        <w:t>Supplementary Information provides the data dictionary and file map. Supplementary Data 1 contains ten worksheet views (S1-S10). Source Data 1 supplies the complete primary machine-readable tables, including the full screening, signal-pair and simulation records; Source Data 2 supplies the external disease-study and chromatin evidence family (S11). These files contain aggregate, shareable outputs and do not redistribute donor genotypes or source BAMs.</w:t>
      </w:r>
    </w:p>
    <w:sectPr w:rsidR="00FC693F" w:rsidRPr="0006063C" w:rsidSect="00034616">
      <w:footerReference w:type="default" r:id="rId9"/>
      <w:pgSz w:w="11906" w:h="16838"/>
      <w:pgMar w:top="1247" w:right="1247" w:bottom="124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4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Arial" w:hAnsi="Arial" w:eastAsia="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matched multisignal colocalization clarifies regulatory assignments at primary biliary cholangitis loci</dc:title>
  <dc:subject>npj Genomic Medicine submission candidate</dc:subject>
  <dc:creator>Zhi Chen; Teng Qi</dc:creator>
  <cp:keywords>PBC; colocalization; eQTL; caQTL;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