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5A85"/>
          <w:sz w:val="26"/>
        </w:rPr>
        <w:t>Cover letter – Human Genomics</w:t>
      </w:r>
    </w:p>
    <w:p>
      <w:r>
        <w:rPr>
          <w:b/>
        </w:rPr>
        <w:t>Date: 10 October 2026</w:t>
      </w:r>
    </w:p>
    <w:p>
      <w:r>
        <w:rPr>
          <w:b/>
        </w:rPr>
        <w:t>To: Professor Vasilis Vasiliou, Editor-in-Chief, Human Genomics</w:t>
      </w:r>
    </w:p>
    <w:p>
      <w:r>
        <w:rPr>
          <w:b/>
        </w:rPr>
        <w:t>From: [CORRESPONDING AUTHOR NAME, DEGREE, AFFILIATION, POSTAL ADDRESS, EMAIL, TELEPHONE]</w:t>
      </w:r>
    </w:p>
    <w:p>
      <w:r>
        <w:rPr>
          <w:b/>
        </w:rPr>
        <w:t>Re: Research manuscript, “Input-matched multi-signal colocalization clarifies immune-cell regulatory assignments at primary biliary cholangitis risk loci”</w:t>
      </w:r>
    </w:p>
    <w:p>
      <w:r>
        <w:t>Dear Professor Vasiliou,</w:t>
      </w:r>
    </w:p>
    <w:p>
      <w:r>
        <w:t>Please consider our Research manuscript, “Input-matched multi-signal colocalization clarifies immune-cell regulatory assignments at primary biliary cholangitis risk loci,” for publication in Human Genomics. The study addresses a recurring problem in post-GWAS interpretation: changes in colocalization labels can arise from variant-support and disease-statistic differences as well as from the move from single-causal to multi-signal inference.</w:t>
      </w:r>
    </w:p>
    <w:p>
      <w:r>
        <w:t>We screened 6,923 PBC locus-gene-cell comparisons and applied source-matched multi-signal analysis to a frozen 642-comparison high-information subset. A four-arm A0/A1/A2/M design separated support restriction, disease-statistic matching and inferential procedure. Input matching explained part of the bidirectional reclassification, but stable H4-to-H3 and H3-to-H4 changes remained. Truth-known simulations exposed a trade-off between fewer false-H4 decisions and lower shared-signal recovery, with only one-third of iterations forming an evaluable signal pair. IL12RB2-NK and FCRL3 B-cell assignments received bounded cross-resource support, while the exact five-versus-five liver analysis supported lineage detectability without corrected PBC-specific enrichment.</w:t>
      </w:r>
    </w:p>
    <w:p>
      <w:r>
        <w:t>The contribution is an evidence-governed analysis of regulatory-assignment reliability rather than a claim of new-gene discovery or universal method superiority. It fits Human Genomics through its integration of human genetic epidemiology, regulatory genomics, statistical genetics, single-cell molecular-QTL resources and transparent open-data reproducibility. The manuscript retains negative, model-sensitive and uninformative results and distinguishes statistical signal sharing from mechanism and mediation.</w:t>
      </w:r>
    </w:p>
    <w:p>
      <w:r>
        <w:t>Code, frozen protocols, compact aggregate outputs, figure sources and machine-readable supplementary data are fixed in the public repository at https://github.com/1209433622cz-maker/igan-open-regulatory-evidence/tree/r7b4a-human-genomics-interface-2026-10-10. Third-party individual-level or licence-restricted files are represented by accession and provenance records rather than redistributed.</w:t>
      </w:r>
    </w:p>
    <w:p>
      <w:r>
        <w:t>Before submission, the corresponding author must replace and confirm the following statements:</w:t>
      </w:r>
    </w:p>
    <w:p>
      <w:pPr>
        <w:pStyle w:val="ListBullet"/>
        <w:spacing w:after="0"/>
        <w:ind w:left="255" w:hanging="142"/>
      </w:pPr>
      <w:r>
        <w:rPr>
          <w:sz w:val="19"/>
        </w:rPr>
        <w:t>[ALL AUTHORS APPROVE THIS VERSION AND ITS SUBMISSION.]</w:t>
      </w:r>
    </w:p>
    <w:p>
      <w:pPr>
        <w:pStyle w:val="ListBullet"/>
        <w:spacing w:after="0"/>
        <w:ind w:left="255" w:hanging="142"/>
      </w:pPr>
      <w:r>
        <w:rPr>
          <w:sz w:val="19"/>
        </w:rPr>
        <w:t>[THE MANUSCRIPT IS ORIGINAL AND IS NOT UNDER CONSIDERATION ELSEWHERE.]</w:t>
      </w:r>
    </w:p>
    <w:p>
      <w:pPr>
        <w:pStyle w:val="ListBullet"/>
        <w:spacing w:after="0"/>
        <w:ind w:left="255" w:hanging="142"/>
      </w:pPr>
      <w:r>
        <w:rPr>
          <w:sz w:val="19"/>
        </w:rPr>
        <w:t>[ALL FINANCIAL AND NON-FINANCIAL COMPETING INTERESTS ARE DISCLOSED.]</w:t>
      </w:r>
    </w:p>
    <w:p>
      <w:pPr>
        <w:pStyle w:val="ListBullet"/>
        <w:spacing w:after="0"/>
        <w:ind w:left="255" w:hanging="142"/>
      </w:pPr>
      <w:r>
        <w:rPr>
          <w:sz w:val="19"/>
        </w:rPr>
        <w:t>[ETHICS/WAIVER WORDING HAS BEEN CONFIRMED BY THE RESPONSIBLE INSTITUTION.]</w:t>
      </w:r>
    </w:p>
    <w:p>
      <w:pPr>
        <w:pStyle w:val="ListBullet"/>
        <w:spacing w:after="0"/>
        <w:ind w:left="255" w:hanging="142"/>
      </w:pPr>
      <w:r>
        <w:rPr>
          <w:sz w:val="19"/>
        </w:rPr>
        <w:t>[FUNDING, AUTHOR CONTRIBUTIONS, ACKNOWLEDGEMENTS, APC ROUTE AND LICENCE ARE CONFIRMED.]</w:t>
      </w:r>
    </w:p>
    <w:p>
      <w:r>
        <w:t>Thank you for considering this manuscript.</w:t>
      </w:r>
    </w:p>
    <w:p>
      <w:r>
        <w:t>Sincerely,</w:t>
      </w:r>
    </w:p>
    <w:p>
      <w:r>
        <w:t>[CORRESPONDING AUTHOR NAME AND SIGNATURE BLOCK]</w:t>
      </w:r>
    </w:p>
    <w:sectPr w:rsidR="00FC693F" w:rsidRPr="0006063C" w:rsidSect="00034616">
      <w:footerReference w:type="default" r:id="rId9"/>
      <w:pgSz w:w="12240" w:h="15840"/>
      <w:pgMar w:top="935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Human Genomics</dc:title>
  <dc:subject/>
  <dc:creator>python-docx</dc:creator>
  <cp:keywords/>
  <dc:description>Draft with explicit author-confirmation fields; not signed.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