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 matched multisignal colocalization clarifies regulatory assignments at primary biliary cholangitis loci</w:t>
      </w:r>
    </w:p>
    <w:p>
      <w:pPr>
        <w:spacing w:line="276" w:lineRule="auto"/>
        <w:ind w:firstLine="0"/>
        <w:jc w:val="left"/>
      </w:pPr>
      <w:r>
        <w:t>Article type: Article</w:t>
      </w:r>
    </w:p>
    <w:p>
      <w:pPr>
        <w:spacing w:line="276" w:lineRule="auto"/>
        <w:ind w:firstLine="0"/>
        <w:jc w:val="left"/>
      </w:pPr>
      <w:r>
        <w:t>Authors: Zhi Chen¹ (ORCID: 0009-0001-0072-5576); Teng Qi¹* (ORCID: 0009-0007-7648-4776)</w:t>
      </w:r>
    </w:p>
    <w:p>
      <w:pPr>
        <w:spacing w:line="276" w:lineRule="auto"/>
        <w:ind w:firstLine="0"/>
        <w:jc w:val="left"/>
      </w:pPr>
      <w:r>
        <w:t>Affiliations: ¹ School of Medicine, The Chinese University of Hong Kong, Shenzhen, 2001 Longxiang Boulevard, Longgang District, Shenzhen, Guangdong 518172, China</w:t>
      </w:r>
    </w:p>
    <w:p>
      <w:pPr>
        <w:spacing w:line="276" w:lineRule="auto"/>
        <w:ind w:firstLine="0"/>
        <w:jc w:val="left"/>
      </w:pPr>
      <w:r>
        <w:t>Corresponding author: Teng Qi, School of Medicine, The Chinese University of Hong Kong, Shenzhen, 2001 Longxiang Boulevard, Longgang District, Shenzhen, Guangdong 518172, China; tengqi@link.cuhk.edu.cn</w:t>
      </w:r>
    </w:p>
    <w:p>
      <w:pPr>
        <w:pStyle w:val="Heading1"/>
        <w:ind w:firstLine="0"/>
      </w:pPr>
      <w:r>
        <w:t>Abstract</w:t>
      </w:r>
    </w:p>
    <w:p>
      <w:pPr>
        <w:ind w:firstLine="0"/>
        <w:jc w:val="left"/>
      </w:pPr>
      <w:r>
        <w:rPr>
          <w:i w:val="0"/>
        </w:rPr>
        <w:t xml:space="preserve">Regulatory assignments depend on association inputs and signal models. We screened 5,460 of 6,923 primary biliary cholangitis locus-gene-cell comparisons and evaluated a protocol-frozen 642-comparison subset. Matching variant support and disease statistics changed 15 and 19 classifications, respectively. Eight shared-signal (H4) calls became distinct-signal (H3), and ten changed conversely. Shared and distinct pairs coexisted in 32 of 92 H4-supported comparisons, while a </w:t>
      </w:r>
      <w:r>
        <w:rPr>
          <w:i/>
        </w:rPr>
        <w:t>FCRL3</w:t>
      </w:r>
      <w:r>
        <w:rPr>
          <w:i w:val="0"/>
        </w:rPr>
        <w:t xml:space="preserve"> T-cell assignment reversed between covariate models. Across 486,000 simulations, multi-signal inference reduced false sharing from 12.41% to 8.56% and shared-signal recovery from 32.99% to 26.66%; only 33.08% were pair-evaluable. </w:t>
      </w:r>
      <w:r>
        <w:rPr>
          <w:i/>
        </w:rPr>
        <w:t>IL12RB2</w:t>
      </w:r>
      <w:r>
        <w:rPr>
          <w:i w:val="0"/>
        </w:rPr>
        <w:t xml:space="preserve"> sharing in natural killer cells received external disease-study and chromatin support, whereas liver data showed detectability without corrected disease enrichment. These results support signal-specific, model-qualified regulatory attribution without establishing mediation or universal methodological superiority.</w:t>
      </w:r>
    </w:p>
    <w:p>
      <w:pPr>
        <w:spacing w:line="276" w:lineRule="auto"/>
        <w:ind w:firstLine="0"/>
        <w:jc w:val="left"/>
      </w:pPr>
      <w:r>
        <w:t>Keywords: primary biliary cholangitis; colocalization; single-cell eQTL; fine-mapping; linkage disequilibrium; signal pair; regulatory genomics; statistical genetics</w:t>
      </w:r>
    </w:p>
    <w:p>
      <w:pPr>
        <w:pStyle w:val="Heading1"/>
        <w:ind w:firstLine="0"/>
      </w:pPr>
      <w:r>
        <w:t>Introduction</w:t>
      </w:r>
    </w:p>
    <w:p>
      <w:pPr>
        <w:ind w:firstLine="0"/>
        <w:jc w:val="left"/>
      </w:pPr>
      <w:r>
        <w:rPr>
          <w:i w:val="0"/>
        </w:rPr>
        <w:t>Primary biliary cholangitis (PBC)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 Functional follow-up depends on resolving that uncertainty: a strongly associated gene in the wrong cell context can direct experiments toward a regulatory assignment that the genetic data do not support.</w:t>
      </w:r>
    </w:p>
    <w:p>
      <w:pPr>
        <w:ind w:firstLine="0"/>
        <w:jc w:val="left"/>
      </w:pPr>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pPr>
        <w:ind w:firstLine="0"/>
        <w:jc w:val="left"/>
      </w:pPr>
      <w:r>
        <w:t>Approximate Bayes factor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pPr>
        <w:ind w:firstLine="0"/>
        <w:jc w:val="left"/>
      </w:pPr>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pPr>
        <w:ind w:firstLine="0"/>
        <w:jc w:val="left"/>
      </w:pPr>
      <w:r>
        <w:rPr>
          <w:i w:val="0"/>
        </w:rPr>
        <w:t xml:space="preserve">We used PBC to test the reliability of immune-cell regulatory attribution through a linked sequence of questions. A PBC-wide screen defined a bounded high-information subset. Matched-input single-causal arms then distinguished changes caused by variant support and disease-statistic definitions from differences remaining between complete inferential procedures. Signal-pair identity and covariate sensitivity established what a comparison-level label could mean. Truth-known simulations tested the trade-off between false sharing, recovery and credible-set discovery. Finally, representative </w:t>
      </w:r>
      <w:r>
        <w:rPr>
          <w:i/>
        </w:rPr>
        <w:t>FCRL3</w:t>
      </w:r>
      <w:r>
        <w:rPr>
          <w:i w:val="0"/>
        </w:rPr>
        <w:t xml:space="preserve"> B-cell and </w:t>
      </w:r>
      <w:r>
        <w:rPr>
          <w:i/>
        </w:rPr>
        <w:t>IL12RB2</w:t>
      </w:r>
      <w:r>
        <w:rPr>
          <w:i w:val="0"/>
        </w:rPr>
        <w:t>-NK assignments were examined across molecular-QTL resources, a different disease study system, linked chromatin and donor-level liver expression. This design asked which assignments persisted, why others changed, and where statistical support stopped short of mechanism.</w:t>
      </w:r>
    </w:p>
    <w:p>
      <w:pPr>
        <w:pStyle w:val="Heading1"/>
        <w:ind w:firstLine="0"/>
      </w:pPr>
      <w:r>
        <w:t>Results</w:t>
      </w:r>
    </w:p>
    <w:p>
      <w:pPr>
        <w:pStyle w:val="Heading2"/>
        <w:ind w:firstLine="0"/>
      </w:pPr>
      <w:r>
        <w:t>PBC-wide screening defined a bounded high-information multi-signal analysis</w:t>
      </w:r>
    </w:p>
    <w:p>
      <w:pPr>
        <w:ind w:firstLine="0"/>
        <w:jc w:val="left"/>
      </w:pPr>
      <w:r>
        <w:rPr>
          <w:i w:val="0"/>
        </w:rP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1d). It covered 47 PBC regions, 200 genes, 14 cell types and 286 cell-locus blocks. Complete records are provided in Source Data 1, S2/. The four-arm input contract is shown in Figure 1b; the complete adjacent transition matrices are provided in Supplementary Figure S1.</w:t>
      </w:r>
    </w:p>
    <w:p>
      <w:pPr>
        <w:ind w:firstLine="0"/>
        <w:jc w:val="left"/>
      </w:pPr>
      <w:r>
        <w:rPr>
          <w:i w:val="0"/>
        </w:rP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 The H4-supported fraction describes this selected workload and is not an estimated prevalence across all PBC regulatory comparisons.</w:t>
      </w:r>
    </w:p>
    <w:p>
      <w:pPr>
        <w:keepNext/>
        <w:spacing w:line="240" w:lineRule="auto"/>
        <w:jc w:val="center"/>
      </w:pPr>
      <w:r>
        <w:drawing>
          <wp:inline xmlns:a="http://schemas.openxmlformats.org/drawingml/2006/main" xmlns:pic="http://schemas.openxmlformats.org/drawingml/2006/picture">
            <wp:extent cx="5760720" cy="5107021"/>
            <wp:docPr id="1" name="Picture 1"/>
            <wp:cNvGraphicFramePr>
              <a:graphicFrameLocks noChangeAspect="1"/>
            </wp:cNvGraphicFramePr>
            <a:graphic>
              <a:graphicData uri="http://schemas.openxmlformats.org/drawingml/2006/picture">
                <pic:pic>
                  <pic:nvPicPr>
                    <pic:cNvPr id="0" name="Figure_1.png"/>
                    <pic:cNvPicPr/>
                  </pic:nvPicPr>
                  <pic:blipFill>
                    <a:blip r:embed="rId16"/>
                    <a:stretch>
                      <a:fillRect/>
                    </a:stretch>
                  </pic:blipFill>
                  <pic:spPr>
                    <a:xfrm>
                      <a:off x="0" y="0"/>
                      <a:ext cx="5760720" cy="5107021"/>
                    </a:xfrm>
                    <a:prstGeom prst="rect"/>
                  </pic:spPr>
                </pic:pic>
              </a:graphicData>
            </a:graphic>
          </wp:inline>
        </w:drawing>
      </w:r>
    </w:p>
    <w:p>
      <w:pPr>
        <w:pStyle w:val="FigureCaption"/>
        <w:keepNext/>
      </w:pPr>
      <w:r>
        <w:rPr>
          <w:b/>
        </w:rPr>
        <w:t xml:space="preserve">Figure 1. A bounded PBC screen with an explicit input contract. </w:t>
      </w:r>
      <w:r>
        <w:rPr>
          <w:i w:val="0"/>
        </w:rPr>
        <w:t>(a) Screening scope: 6,923 frozen comparisons, 5,460 ABF-eligible and 642 selected high-information comparisons; 1,463 coverage-insufficient records were not negative results. (b) A0 used historical support S_A and GCST disease summaries; A1 used S_M with the same disease source; A2 used S_M and GJOKA z statistics; M is the frozen multi-signal procedure. A2 versus M is a complete-procedure contrast, not a single-factor experiment. (c) PF10 outcomes: H4 92, H3 428, model-sensitive 59 and uninformative 63. (d) The original 184-comparison primary cohort, 455-comparison H3 layer and three borderline cases remain separate; colors follow panel c. Comparisons, genes and loci are different counting units.</w:t>
      </w:r>
    </w:p>
    <w:p>
      <w:pPr>
        <w:pStyle w:val="FigureCaption"/>
      </w:pPr>
      <w:r>
        <w:t>Abbreviations: ABF, approximate Bayes factor; GCST, GWAS Catalog study; PF10, ten expression factors; H3/H4, distinct/shared-signal hypotheses; S_A/S_M, historical ABF/actual multi-signal support.</w:t>
      </w:r>
    </w:p>
    <w:p>
      <w:r>
        <w:br w:type="page"/>
      </w:r>
    </w:p>
    <w:p>
      <w:pPr>
        <w:pStyle w:val="Heading2"/>
        <w:ind w:firstLine="0"/>
      </w:pPr>
      <w:r>
        <w:rPr>
          <w:i w:val="0"/>
        </w:rPr>
        <w:t>Input matching explained part of the bidirectional reclassification</w:t>
      </w:r>
    </w:p>
    <w:p>
      <w:pPr>
        <w:ind w:firstLine="0"/>
        <w:jc w:val="left"/>
      </w:pPr>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pPr>
        <w:ind w:firstLine="0"/>
        <w:jc w:val="left"/>
      </w:pPr>
      <w:r>
        <w:t>Restricting the ABF calculation from S_A to S_M changed 15 categorical states (A0-to-A1) while retaining all 112 historical H4 states. Replacing the harmonized GCST disease definition with the matched GJOKA z-statistic definition changed 19 states (A1-to-A2; Figure 2b). Fixed-versus-native sdY and matched-z-versus-rounded GJOKA sensitivity definitions produced no categorical changes within the frozen 642. The two change counts can involve the same comparisons and are not additive.</w:t>
      </w:r>
    </w:p>
    <w:p>
      <w:pPr>
        <w:ind w:firstLine="0"/>
        <w:jc w:val="left"/>
      </w:pPr>
      <w:r>
        <w:rPr>
          <w:i w:val="0"/>
        </w:rP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 Complete records are provided in Source Data 1, S3/.</w:t>
      </w:r>
    </w:p>
    <w:p>
      <w:pPr>
        <w:ind w:firstLine="0"/>
        <w:jc w:val="left"/>
      </w:pPr>
      <w:r>
        <w:rPr>
          <w:i w:val="0"/>
        </w:rPr>
        <w:t xml:space="preserve">Ten of 12 historical directional transitions remained strict H4/H3 changes under matched inputs. Two historical cases entered the multi-signal analysis from matched-input ambiguous states and were no longer counted as strict A2-to-M reversals. Strict reversal counts therefore follow the matched-input starting state. Reclassification was therefore defined by the matched-input starting state; the concrete </w:t>
      </w:r>
      <w:r>
        <w:rPr>
          <w:i/>
        </w:rPr>
        <w:t>FCRL3</w:t>
      </w:r>
      <w:r>
        <w:rPr>
          <w:i w:val="0"/>
        </w:rPr>
        <w:t xml:space="preserve"> model contrast is developed below.</w:t>
      </w:r>
    </w:p>
    <w:p>
      <w:pPr/>
      <w:r>
        <w:t>The disease sample-size convention was then tested without changing the primary source-matched analysis. Gjoka and Cordell fitted SuSiE-RSS to logistic-regression summary statistics using the total sample size of 24,510. A protocol-frozen secondary rerun instead used the case-control effective sample size 4/(1/8,021+1/16,489)=21,584.38 for 33 high-risk comparisons across 14 loci. All 33 final states and all four manuscript key axes were unchanged. Disease credible-set membership was identical in 164 of 164 comparison-configuration-set records, and the largest absolute change in the PF10 L=10 best PP.H4 was 1.63x10^-4 (Source Data 3).</w:t>
      </w:r>
    </w:p>
    <w:p>
      <w:pPr>
        <w:keepNext/>
        <w:spacing w:line="240" w:lineRule="auto"/>
        <w:jc w:val="center"/>
      </w:pPr>
      <w:r>
        <w:drawing>
          <wp:inline xmlns:a="http://schemas.openxmlformats.org/drawingml/2006/main" xmlns:pic="http://schemas.openxmlformats.org/drawingml/2006/picture">
            <wp:extent cx="5760720" cy="5107021"/>
            <wp:docPr id="2" name="Picture 2"/>
            <wp:cNvGraphicFramePr>
              <a:graphicFrameLocks noChangeAspect="1"/>
            </wp:cNvGraphicFramePr>
            <a:graphic>
              <a:graphicData uri="http://schemas.openxmlformats.org/drawingml/2006/picture">
                <pic:pic>
                  <pic:nvPicPr>
                    <pic:cNvPr id="0" name="Figure_2.png"/>
                    <pic:cNvPicPr/>
                  </pic:nvPicPr>
                  <pic:blipFill>
                    <a:blip r:embed="rId17"/>
                    <a:stretch>
                      <a:fillRect/>
                    </a:stretch>
                  </pic:blipFill>
                  <pic:spPr>
                    <a:xfrm>
                      <a:off x="0" y="0"/>
                      <a:ext cx="5760720" cy="5107021"/>
                    </a:xfrm>
                    <a:prstGeom prst="rect"/>
                  </pic:spPr>
                </pic:pic>
              </a:graphicData>
            </a:graphic>
          </wp:inline>
        </w:drawing>
      </w:r>
    </w:p>
    <w:p>
      <w:pPr>
        <w:pStyle w:val="FigureCaption"/>
        <w:keepNext/>
      </w:pPr>
      <w:r>
        <w:rPr>
          <w:b/>
        </w:rPr>
        <w:t xml:space="preserve">Figure 2. Matched inputs retain bidirectional reclassification. </w:t>
      </w:r>
      <w:r>
        <w:rPr>
          <w:i w:val="0"/>
        </w:rPr>
        <w:t>(a) S_A-to-S_M restriction removed 19–114 variants per comparison (median 65; median fraction 7.67%). (b) Adjacent arms changed 15, 19 and 139 categorical states among 642 comparisons. Affected comparisons can overlap, and the counts are not additive. (c) Complete A2-to-M counts, including ambiguity and information changes. (d) Outcome fractions within the 113 A2 H4 and 452 A2 H3 comparisons; numbers show counts. Colors identify M H4 (teal), H3 (orange), model-sensitive (purple) and uninformative (grey). Strict transitions include eight H4-to-H3 and ten H3-to-H4 cases. The thin ten-comparison H4 segment in the second bar is retained even though its count label is omitted for legibility. Real-data state transitions are not known-truth error rates.</w:t>
      </w:r>
    </w:p>
    <w:p>
      <w:pPr>
        <w:pStyle w:val="FigureCaption"/>
      </w:pPr>
      <w:r>
        <w:t>Abbreviations: A0/A1/A2, historical/support-matched/support-and-statistic-matched ABF; M, frozen PF10 multi-signal procedure; H3/H4, distinct/shared hypotheses.</w:t>
      </w:r>
    </w:p>
    <w:p>
      <w:r>
        <w:br w:type="page"/>
      </w:r>
    </w:p>
    <w:p>
      <w:pPr>
        <w:pStyle w:val="Heading2"/>
        <w:ind w:firstLine="0"/>
      </w:pPr>
      <w:r>
        <w:rPr>
          <w:i w:val="0"/>
        </w:rPr>
        <w:t>Signal sharing remained pair specific and model dependent</w:t>
      </w:r>
    </w:p>
    <w:p>
      <w:pPr>
        <w:ind w:firstLine="0"/>
        <w:jc w:val="left"/>
      </w:pPr>
      <w:r>
        <w:rPr>
          <w:i w:val="0"/>
        </w:rP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3a). H4 support therefore meant that at least one shared pair was stable, not that every signal in the region was shared. Conversely, H3 support identified a stable distinct pair and did not prove the global absence of another shared pair.</w:t>
      </w:r>
    </w:p>
    <w:p>
      <w:pPr>
        <w:ind w:firstLine="0"/>
        <w:jc w:val="left"/>
      </w:pPr>
      <w:r>
        <w:rPr>
          <w:i w:val="0"/>
        </w:rPr>
        <w:t>Among the 520 comparisons with a definite PF10 H4 or H3 state, PF50 produced the same state in 491 (94.42%), changed four to the alternative supported state and was uninformative in 25 (Figure 3b). The remaining 122 PF10 model-sensitive or uninformative comparisons were not included in this denominator. The 94.42% agreement is conditional on a definite PF10 state.</w:t>
      </w:r>
    </w:p>
    <w:p>
      <w:pPr>
        <w:ind w:firstLine="0"/>
        <w:jc w:val="left"/>
      </w:pPr>
      <w:r>
        <w:rPr>
          <w:i w:val="0"/>
        </w:rPr>
      </w:r>
      <w:r>
        <w:rPr>
          <w:i/>
        </w:rPr>
        <w:t>FCRL3</w:t>
      </w:r>
      <w:r>
        <w:rPr>
          <w:i w:val="0"/>
        </w:rPr>
        <w:t xml:space="preserve">-CD8_ET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3c).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w:t>
      </w:r>
      <w:r>
        <w:rPr>
          <w:i/>
        </w:rPr>
        <w:t>FCRL3</w:t>
      </w:r>
      <w:r>
        <w:rPr>
          <w:i w:val="0"/>
        </w:rPr>
        <w:t xml:space="preserve"> has no role in CD8 T cells.</w:t>
      </w:r>
    </w:p>
    <w:p>
      <w:pPr>
        <w:ind w:firstLine="0"/>
        <w:jc w:val="left"/>
      </w:pPr>
      <w:r>
        <w:rPr>
          <w:i w:val="0"/>
        </w:rPr>
      </w:r>
      <w:r>
        <w:rPr>
          <w:i/>
        </w:rPr>
        <w:t>FCRL3</w:t>
      </w:r>
      <w:r>
        <w:rPr>
          <w:i w:val="0"/>
        </w:rPr>
        <w:t xml:space="preserve"> showed stable OneK1K B-cell sharing in intermediate and memory B cells. Under PF10 L=10, best signal-pair PP.H4 values were 0.9937 and 0.9910, respectively. TenK10K intermediate B cells reproduced the sharing pattern (343 overlapping variants; default PP.H4=0.9916; low-prior H4/[H3+H4]=0.9217; Figure 5b). Because the same PBC GWAS was reused, this was cross-QTL-resource support rather than independent disease replication.</w:t>
      </w:r>
    </w:p>
    <w:p>
      <w:pPr>
        <w:ind w:firstLine="0"/>
        <w:jc w:val="left"/>
      </w:pPr>
      <w:r>
        <w:rPr>
          <w:i w:val="0"/>
        </w:rPr>
        <w:t xml:space="preserve">The PBC risk allele was associated with lower </w:t>
      </w:r>
      <w:r>
        <w:rPr>
          <w:i/>
        </w:rPr>
        <w:t>FCRL3</w:t>
      </w:r>
      <w:r>
        <w:rPr>
          <w:i w:val="0"/>
        </w:rPr>
        <w:t xml:space="preserve"> expression in the compatible OneK1K and TenK10K B-cell contexts. The frozen FinnGen public output returned no direct PBC-</w:t>
      </w:r>
      <w:r>
        <w:rPr>
          <w:i/>
        </w:rPr>
        <w:t>FCRL3</w:t>
      </w:r>
      <w:r>
        <w:rPr>
          <w:i w:val="0"/>
        </w:rPr>
        <w:t xml:space="preserve"> pair. That non-return was a coverage boundary, not evidence against sharing. Stability within a model did not establish correctness; truth-known simulations provided a complementary test.</w:t>
      </w:r>
    </w:p>
    <w:p>
      <w:pPr>
        <w:keepNext/>
        <w:spacing w:line="240" w:lineRule="auto"/>
        <w:jc w:val="center"/>
      </w:pPr>
      <w:r>
        <w:drawing>
          <wp:inline xmlns:a="http://schemas.openxmlformats.org/drawingml/2006/main" xmlns:pic="http://schemas.openxmlformats.org/drawingml/2006/picture">
            <wp:extent cx="5760720" cy="5107021"/>
            <wp:docPr id="3" name="Picture 3"/>
            <wp:cNvGraphicFramePr>
              <a:graphicFrameLocks noChangeAspect="1"/>
            </wp:cNvGraphicFramePr>
            <a:graphic>
              <a:graphicData uri="http://schemas.openxmlformats.org/drawingml/2006/picture">
                <pic:pic>
                  <pic:nvPicPr>
                    <pic:cNvPr id="0" name="Figure_3.png"/>
                    <pic:cNvPicPr/>
                  </pic:nvPicPr>
                  <pic:blipFill>
                    <a:blip r:embed="rId18"/>
                    <a:stretch>
                      <a:fillRect/>
                    </a:stretch>
                  </pic:blipFill>
                  <pic:spPr>
                    <a:xfrm>
                      <a:off x="0" y="0"/>
                      <a:ext cx="5760720" cy="5107021"/>
                    </a:xfrm>
                    <a:prstGeom prst="rect"/>
                  </pic:spPr>
                </pic:pic>
              </a:graphicData>
            </a:graphic>
          </wp:inline>
        </w:drawing>
      </w:r>
    </w:p>
    <w:p>
      <w:pPr>
        <w:pStyle w:val="FigureCaption"/>
        <w:keepNext/>
      </w:pPr>
      <w:r>
        <w:rPr>
          <w:b/>
        </w:rPr>
        <w:t xml:space="preserve">Figure 3. Signal identity and model context limit regulatory labels. </w:t>
      </w:r>
      <w:r>
        <w:rPr>
          <w:i w:val="0"/>
        </w:rPr>
        <w:t xml:space="preserve">(a) Of 92 H4-supported comparisons, 32 also contained a qualifying distinct-signal pair and 60 had no qualifying H3 pair. Relevant pair identity was stable in all 92 H4 and 428 H3 comparisons; H3 support is not global absence of sharing. (b) Among 520 comparisons with definite PF10 H4/H3 status, PF50 retained 491 states, changed four and was uninformative in 25. The remaining 122 PF10-sensitive/uninformative comparisons are excluded. (c) </w:t>
      </w:r>
      <w:r>
        <w:rPr>
          <w:i/>
        </w:rPr>
        <w:t>FCRL3</w:t>
      </w:r>
      <w:r>
        <w:rPr>
          <w:i w:val="0"/>
        </w:rPr>
        <w:t xml:space="preserve">-CD8_ET retained ABF H4 across A0/A1/A2 but changed from primary PF10 H3 (best H4=0.003636) to PF50 H4 (best H4=0.991894). (d) </w:t>
      </w:r>
      <w:r>
        <w:rPr>
          <w:i/>
        </w:rPr>
        <w:t>FCRL3</w:t>
      </w:r>
      <w:r>
        <w:rPr>
          <w:i w:val="0"/>
        </w:rPr>
        <w:t xml:space="preserve"> B-cell sharing in OneK1K and TenK10K; OneK values are multi-signal and TenK is single-causal. The disease GWAS was reused, so this is cross-QTL-resource support. Dashed lines in c and d mark the default 0.80 H4 threshold, not the skeptical-prior floor.</w:t>
      </w:r>
    </w:p>
    <w:p>
      <w:pPr>
        <w:pStyle w:val="FigureCaption"/>
      </w:pPr>
      <w:r>
        <w:t>Abbreviations: B_IN/B_MEM, intermediate/memory B cells; CD8_ET, effector CD8 T cells; PF10/PF50, ten/50 expression factors; PP.H4, shared-signal posterior.</w:t>
      </w:r>
    </w:p>
    <w:p>
      <w:r>
        <w:br w:type="page"/>
      </w:r>
    </w:p>
    <w:p>
      <w:pPr>
        <w:pStyle w:val="Heading2"/>
        <w:ind w:firstLine="0"/>
      </w:pPr>
      <w:r>
        <w:rPr>
          <w:i w:val="0"/>
        </w:rPr>
        <w:t>Simulation separated shared-signal decisions from discovery adequacy</w:t>
      </w:r>
    </w:p>
    <w:p>
      <w:pPr>
        <w:ind w:firstLine="0"/>
        <w:jc w:val="left"/>
      </w:pPr>
      <w:r>
        <w:rPr>
          <w:i w:val="0"/>
        </w:rP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4a,d).</w:t>
      </w:r>
    </w:p>
    <w:p>
      <w:pPr>
        <w:ind w:firstLine="0"/>
        <w:jc w:val="left"/>
      </w:pPr>
      <w:r>
        <w:rPr>
          <w:i w:val="0"/>
        </w:rP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4b).</w:t>
      </w:r>
    </w:p>
    <w:p>
      <w:pPr>
        <w:ind w:firstLine="0"/>
        <w:jc w:val="left"/>
      </w:pPr>
      <w:r>
        <w:rPr>
          <w:i w:val="0"/>
        </w:rP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4c).</w:t>
      </w:r>
    </w:p>
    <w:p>
      <w:pPr>
        <w:ind w:firstLine="0"/>
        <w:jc w:val="left"/>
      </w:pPr>
      <w:r>
        <w:rPr>
          <w:i w:val="0"/>
        </w:rP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 Complete records are provided in Source Data 1, S7/. LD-dependent decision rates are shown in Supplementary Figure S2.</w:t>
      </w:r>
    </w:p>
    <w:p>
      <w:pPr>
        <w:keepNext/>
        <w:spacing w:line="240" w:lineRule="auto"/>
        <w:jc w:val="center"/>
      </w:pPr>
      <w:r>
        <w:drawing>
          <wp:inline xmlns:a="http://schemas.openxmlformats.org/drawingml/2006/main" xmlns:pic="http://schemas.openxmlformats.org/drawingml/2006/picture">
            <wp:extent cx="5760720" cy="5107021"/>
            <wp:docPr id="4" name="Picture 4"/>
            <wp:cNvGraphicFramePr>
              <a:graphicFrameLocks noChangeAspect="1"/>
            </wp:cNvGraphicFramePr>
            <a:graphic>
              <a:graphicData uri="http://schemas.openxmlformats.org/drawingml/2006/picture">
                <pic:pic>
                  <pic:nvPicPr>
                    <pic:cNvPr id="0" name="Figure_4.png"/>
                    <pic:cNvPicPr/>
                  </pic:nvPicPr>
                  <pic:blipFill>
                    <a:blip r:embed="rId19"/>
                    <a:stretch>
                      <a:fillRect/>
                    </a:stretch>
                  </pic:blipFill>
                  <pic:spPr>
                    <a:xfrm>
                      <a:off x="0" y="0"/>
                      <a:ext cx="5760720" cy="5107021"/>
                    </a:xfrm>
                    <a:prstGeom prst="rect"/>
                  </pic:spPr>
                </pic:pic>
              </a:graphicData>
            </a:graphic>
          </wp:inline>
        </w:drawing>
      </w:r>
    </w:p>
    <w:p>
      <w:pPr>
        <w:pStyle w:val="FigureCaption"/>
        <w:keepNext/>
      </w:pPr>
      <w:r>
        <w:rPr>
          <w:b/>
        </w:rPr>
        <w:t xml:space="preserve">Figure 4. Simulation separates discovery from shared-signal decisions. </w:t>
      </w:r>
      <w:r>
        <w:rPr>
          <w:i w:val="0"/>
        </w:rPr>
        <w:t>Across 486,000 iterations, each of six scenarios contributed 81,000 grid-weighted replicates from two 128-variant LD templates. (a) Outcome channels distinguish absent credible sets from evaluable H3/H4 pairs. (b) Pair-evaluable rates and unconditional versus pair-conditional H4 rates have different denominators. (c) Unconditional ABF and matched multi-signal decisions. S1 has one shared signal; S2 correlated distinct signals; S3 two disease and one QTL signal with sharing; S4 two signals per trait with one shared pair; S5 two signals per trait with no shared pair; S6 the shared architecture with bounded same-locus PF10/PF50 LD sensitivity. (d) Credible-set discovery channels: 160,782 iterations (33.08%) were pair-evaluable. No primary iteration had both credible sets but no eligible pair, or a recorded technical error. Lower false sharing coincided with lower shared-signal recovery. Rates average the finite MAF, LD, L and prior grid; they do not directly calibrate the full cross-L/low-prior real-data gate.</w:t>
      </w:r>
    </w:p>
    <w:p>
      <w:pPr>
        <w:pStyle w:val="FigureCaption"/>
      </w:pPr>
      <w:r>
        <w:t>Abbreviations: ABF, approximate Bayes factor; CS, credible set; QTL, quantitative-trait locus; LD, linkage disequilibrium; L, maximum SuSiE effects.</w:t>
      </w:r>
    </w:p>
    <w:p>
      <w:r>
        <w:br w:type="page"/>
      </w:r>
    </w:p>
    <w:p>
      <w:pPr>
        <w:pStyle w:val="Heading2"/>
        <w:ind w:firstLine="0"/>
      </w:pPr>
      <w:r>
        <w:rPr>
          <w:i w:val="0"/>
        </w:rPr>
      </w:r>
      <w:r>
        <w:rPr>
          <w:i/>
        </w:rPr>
        <w:t>IL12RB2</w:t>
      </w:r>
      <w:r>
        <w:rPr>
          <w:i w:val="0"/>
        </w:rPr>
        <w:t xml:space="preserve"> gained bounded external disease-study and chromatin support</w:t>
      </w:r>
    </w:p>
    <w:p>
      <w:pPr>
        <w:ind w:firstLine="0"/>
        <w:jc w:val="left"/>
      </w:pPr>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pPr>
        <w:ind w:firstLine="0"/>
        <w:jc w:val="left"/>
      </w:pPr>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pPr>
        <w:ind w:firstLine="0"/>
        <w:jc w:val="left"/>
      </w:pPr>
      <w:r>
        <w:rPr>
          <w:i w:val="0"/>
        </w:rPr>
        <w:t>The FinnGen disease signal was stable between public releases. The R12 disease credible set contained 19 variants and the R13 set contained 17; all 17 R13 members occurred in R12 (Jaccard=0.895), the same variant led both sets, and member probabilities correlated at r=0.833 (Supplementary Figure S3). FinnGen R13 contained 795 PBC cases and 368,758 controls. At the exact bridged disease variant rs6679356, the aligned C-allele effect was positive in both the discovery PBC GWAS and FinnGen R13.</w:t>
      </w:r>
    </w:p>
    <w:p>
      <w:pPr>
        <w:ind w:firstLine="0"/>
        <w:jc w:val="left"/>
      </w:pPr>
      <w:r>
        <w:rPr>
          <w:i w:val="0"/>
        </w:rPr>
        <w:t>FinnGen R13 × OneK1K NK/</w:t>
      </w:r>
      <w:r>
        <w:rPr>
          <w:i/>
        </w:rPr>
        <w:t>IL12RB2</w:t>
      </w:r>
      <w:r>
        <w:rPr>
          <w:i w:val="0"/>
        </w:rPr>
        <w:t xml:space="preserve"> colocalization used 1,175 harmonized variants. PP.H4 was 0.9772 at p12=10^-6, 0.9977 at p12=10^-5 and 0.9998 at p12=10^-4; H4/(H3+H4) was 0.9776, 0.9977 and 0.9998, respectively (Figure 5a). The shared top variant was rs6702599, with concordant effect direction, and both members of the OneK QTL credible set occurred in the FinnGen R13 disease credible set (Figure 5b). This supported the regulatory association in a different disease study system. Public metadata did not establish person-level zero overlap, and the external analysis remained single-causal rather than source-LD multi-signal. Complete records are provided in Source Data 2, data/.</w:t>
      </w:r>
    </w:p>
    <w:p>
      <w:pPr>
        <w:ind w:firstLine="0"/>
        <w:jc w:val="left"/>
      </w:pPr>
      <w:r>
        <w:rPr>
          <w:i w:val="0"/>
        </w:rPr>
        <w:t xml:space="preserve">The prespecified CASCADE audit further constrained the chromatin interpretation. Of 27 fixed genes, 22 had relevant broad-cell eQTL coverage, but only </w:t>
      </w:r>
      <w:r>
        <w:rPr>
          <w:i/>
        </w:rPr>
        <w:t>IL12RB2</w:t>
      </w:r>
      <w:r>
        <w:rPr>
          <w:i w:val="0"/>
        </w:rPr>
        <w:t xml:space="preserve"> returned a PBC-eQTL colocalization record (Figure 5c). At the linked l1.NK peak, PBC-</w:t>
      </w:r>
      <w:r>
        <w:rPr>
          <w:i/>
        </w:rPr>
        <w:t>IL12RB2</w:t>
      </w:r>
      <w:r>
        <w:rPr>
          <w:i w:val="0"/>
        </w:rPr>
        <w:t xml:space="preserve"> eQTL sharing gave PP.H4=0.9703 and PBC-caQTL sharing gave PP.H4=0.9695. All nine eQTL credible-set members and all 11 caQTL credible-set members occurred within the 19-member disease credible set. The peak was 239 bp from the </w:t>
      </w:r>
      <w:r>
        <w:rPr>
          <w:i/>
        </w:rPr>
        <w:t>IL12RB2</w:t>
      </w:r>
      <w:r>
        <w:rPr>
          <w:i w:val="0"/>
        </w:rPr>
        <w:t xml:space="preserve"> transcription start site and linked to the gene with coefficient 0.141 (Figure 5d). These three observed edges supported triangular signal coherence. They did not supply the unavailable direct eQTL-caQTL posterior or establish chromatin-to-expression mediation. The peak-gene link was reported with PBMC as its best cell context and did not independently establish an NK-specific link.</w:t>
      </w:r>
    </w:p>
    <w:p>
      <w:pPr>
        <w:ind w:firstLine="0"/>
        <w:jc w:val="left"/>
      </w:pPr>
      <w:r>
        <w:rPr>
          <w:i w:val="0"/>
        </w:rPr>
        <w:t xml:space="preserve">The aligned PBC risk allele was associated with higher </w:t>
      </w:r>
      <w:r>
        <w:rPr>
          <w:i/>
        </w:rPr>
        <w:t>IL12RB2</w:t>
      </w:r>
      <w:r>
        <w:rPr>
          <w:i w:val="0"/>
        </w:rPr>
        <w:t xml:space="preserve"> expression across compatible OneK1K, TenK10K and FinnGen records. Effect magnitudes were not compared because the expression transformations and models differed. In the OMIX001122 processed archive, </w:t>
      </w:r>
      <w:r>
        <w:rPr>
          <w:i/>
        </w:rPr>
        <w:t>IL12RB2</w:t>
      </w:r>
      <w:r>
        <w:rPr>
          <w:i w:val="0"/>
        </w:rPr>
        <w:t xml:space="preserve"> and </w:t>
      </w:r>
      <w:r>
        <w:rPr>
          <w:i/>
        </w:rPr>
        <w:t>FCRL3</w:t>
      </w:r>
      <w:r>
        <w:rPr>
          <w:i w:val="0"/>
        </w:rPr>
        <w:t xml:space="preserve"> were detectable in both the single PBC and single control spatial matrices. The absence of donor replication, tissue-image coordinates and spot annotations restricted this observation to descriptive detectability rather than disease enrichment or spatial validation. The updated regional disease-caQTL result in the S11 evidence family supersedes the earlier position-only chromatin interpretation retained in S8.</w:t>
      </w:r>
    </w:p>
    <w:p>
      <w:pPr>
        <w:keepNext/>
        <w:spacing w:line="240" w:lineRule="auto"/>
        <w:jc w:val="center"/>
      </w:pPr>
      <w:r>
        <w:drawing>
          <wp:inline xmlns:a="http://schemas.openxmlformats.org/drawingml/2006/main" xmlns:pic="http://schemas.openxmlformats.org/drawingml/2006/picture">
            <wp:extent cx="5760720" cy="5107021"/>
            <wp:docPr id="5" name="Picture 5"/>
            <wp:cNvGraphicFramePr>
              <a:graphicFrameLocks noChangeAspect="1"/>
            </wp:cNvGraphicFramePr>
            <a:graphic>
              <a:graphicData uri="http://schemas.openxmlformats.org/drawingml/2006/picture">
                <pic:pic>
                  <pic:nvPicPr>
                    <pic:cNvPr id="0" name="Figure_5.png"/>
                    <pic:cNvPicPr/>
                  </pic:nvPicPr>
                  <pic:blipFill>
                    <a:blip r:embed="rId20"/>
                    <a:stretch>
                      <a:fillRect/>
                    </a:stretch>
                  </pic:blipFill>
                  <pic:spPr>
                    <a:xfrm>
                      <a:off x="0" y="0"/>
                      <a:ext cx="5760720" cy="5107021"/>
                    </a:xfrm>
                    <a:prstGeom prst="rect"/>
                  </pic:spPr>
                </pic:pic>
              </a:graphicData>
            </a:graphic>
          </wp:inline>
        </w:drawing>
      </w:r>
    </w:p>
    <w:p>
      <w:pPr>
        <w:pStyle w:val="FigureCaption"/>
        <w:keepNext/>
      </w:pPr>
      <w:r>
        <w:rPr>
          <w:b/>
        </w:rPr>
        <w:t xml:space="preserve">Figure 5. IL12RB2 receives bounded external disease and chromatin support. </w:t>
      </w:r>
      <w:r>
        <w:rPr>
          <w:i w:val="0"/>
        </w:rPr>
        <w:t>(a) FinnGen R13 PBC disease statistics and OneK1K NK/</w:t>
      </w:r>
      <w:r>
        <w:rPr>
          <w:i/>
        </w:rPr>
        <w:t>IL12RB2</w:t>
      </w:r>
      <w:r>
        <w:rPr>
          <w:i w:val="0"/>
        </w:rPr>
        <w:t xml:space="preserve"> eQTL sharing over three p12 priors (1,175 harmonized variants; 795 cases, 368,758 controls). The dashed line marks default H4=0.80. Participant-level non-overlap was not verified, and the external analysis was single-causal. (b) Both OneK QTL credible-set members occur within the 17-member FinnGen R13 disease credible set; displayed PIPs are OneK QTL PIPs. This is membership compatibility, not unique-variant proof. (c) Fixed CASCADE coverage: 27 genes queried, 22 with relevant broad-cell eQTL coverage and only </w:t>
      </w:r>
      <w:r>
        <w:rPr>
          <w:i/>
        </w:rPr>
        <w:t>IL12RB2</w:t>
      </w:r>
      <w:r>
        <w:rPr>
          <w:i w:val="0"/>
        </w:rPr>
        <w:t xml:space="preserve"> with a returned PBC-eQTL colocalization record. Non-return is not a powered negative. (d) Separate NK disease-eQTL (H4=0.9703), NK disease-caQTL (H4=0.9695) and peak-gene link (coefficient 0.141; PBMC best cell context) evidence. The solid lines denote reported association/link records without causal direction. The dashed edge marks an unavailable direct eQTL-caQTL posterior; no mediation chain is established.</w:t>
      </w:r>
    </w:p>
    <w:p>
      <w:pPr>
        <w:pStyle w:val="FigureCaption"/>
      </w:pPr>
      <w:r>
        <w:t>Abbreviations: CS, credible set; PIP, posterior inclusion probability; eQTL/caQTL, expression/chromatin-accessibility quantitative-trait locus; NK, natural killer cells; p12, shared-association prior.</w:t>
      </w:r>
    </w:p>
    <w:p>
      <w:r>
        <w:br w:type="page"/>
      </w:r>
    </w:p>
    <w:p>
      <w:pPr>
        <w:pStyle w:val="Heading2"/>
        <w:ind w:firstLine="0"/>
      </w:pPr>
      <w:r>
        <w:t>Liver expression supported lineage detectability but not corrected PBC-specific enrichment</w:t>
      </w:r>
    </w:p>
    <w:p>
      <w:pPr>
        <w:ind w:firstLine="0"/>
        <w:jc w:val="left"/>
      </w:pPr>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pPr>
        <w:ind w:firstLine="0"/>
        <w:jc w:val="left"/>
      </w:pPr>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 Complete records are provided in Supplementary Data 1, worksheet S9; Source Data 1, S9/.</w:t>
      </w:r>
    </w:p>
    <w:p>
      <w:pPr>
        <w:ind w:firstLine="0"/>
        <w:jc w:val="left"/>
      </w:pPr>
      <w:r>
        <w:rPr>
          <w:i w:val="0"/>
        </w:rPr>
        <w:t>These results established that both genes could be detected in the relevant liver immune-lineage compartments in this dataset. They did not show corrected PBC-specific enrichment, tissue mediation or a disease-state mechanism (Figure 6). The small donor sample and surgical non-lesion controls further limited generalization. The tissue layer therefore constrained, rather than completed, the regulatory narrative.</w:t>
      </w:r>
    </w:p>
    <w:p>
      <w:pPr>
        <w:keepNext/>
        <w:spacing w:line="240" w:lineRule="auto"/>
        <w:jc w:val="center"/>
      </w:pPr>
      <w:r>
        <w:drawing>
          <wp:inline xmlns:a="http://schemas.openxmlformats.org/drawingml/2006/main" xmlns:pic="http://schemas.openxmlformats.org/drawingml/2006/picture">
            <wp:extent cx="5760720" cy="2819076"/>
            <wp:docPr id="6" name="Picture 6"/>
            <wp:cNvGraphicFramePr>
              <a:graphicFrameLocks noChangeAspect="1"/>
            </wp:cNvGraphicFramePr>
            <a:graphic>
              <a:graphicData uri="http://schemas.openxmlformats.org/drawingml/2006/picture">
                <pic:pic>
                  <pic:nvPicPr>
                    <pic:cNvPr id="0" name="Figure_6.png"/>
                    <pic:cNvPicPr/>
                  </pic:nvPicPr>
                  <pic:blipFill>
                    <a:blip r:embed="rId21"/>
                    <a:stretch>
                      <a:fillRect/>
                    </a:stretch>
                  </pic:blipFill>
                  <pic:spPr>
                    <a:xfrm>
                      <a:off x="0" y="0"/>
                      <a:ext cx="5760720" cy="2819076"/>
                    </a:xfrm>
                    <a:prstGeom prst="rect"/>
                  </pic:spPr>
                </pic:pic>
              </a:graphicData>
            </a:graphic>
          </wp:inline>
        </w:drawing>
      </w:r>
    </w:p>
    <w:p>
      <w:pPr>
        <w:pStyle w:val="FigureCaption"/>
        <w:keepNext/>
      </w:pPr>
      <w:r>
        <w:rPr>
          <w:b/>
        </w:rPr>
        <w:t xml:space="preserve">Figure 6. Liver detectability does not establish disease enrichment. </w:t>
      </w:r>
      <w:r>
        <w:rPr>
          <w:i w:val="0"/>
        </w:rPr>
        <w:t xml:space="preserve">(a) </w:t>
      </w:r>
      <w:r>
        <w:rPr>
          <w:i/>
        </w:rPr>
        <w:t>FCRL3</w:t>
      </w:r>
      <w:r>
        <w:rPr>
          <w:i w:val="0"/>
        </w:rPr>
        <w:t xml:space="preserve"> B-lineage and (b) </w:t>
      </w:r>
      <w:r>
        <w:rPr>
          <w:i/>
        </w:rPr>
        <w:t>IL12RB2</w:t>
      </w:r>
      <w:r>
        <w:rPr>
          <w:i w:val="0"/>
        </w:rPr>
        <w:t xml:space="preserve"> NK-lineage log1p target counts per million in five PBC and five non-lesion liver donors from hepatic hemangioma surgery. Each point is a donor, and all observations are shown. Delta is the mean PBC-minus-control difference on the displayed scale. Exact two-sided permutation tests use all 252 assignments of five of ten donors; both targets have two-test Benjamini-Hochberg q=0.1111. Both genes were detectable in 5/5 donors per group, but neither showed corrected PBC-specific enrichment. Boxes show interquartile ranges, central lines medians and whiskers the most extreme observations within 1.5 interquartile ranges; points beyond whiskers remain displayed. Tissue detectability does not establish genetic mediation or clinical utility.</w:t>
      </w:r>
    </w:p>
    <w:p>
      <w:pPr>
        <w:pStyle w:val="FigureCaption"/>
      </w:pPr>
      <w:r>
        <w:t>Abbreviations: CPM, counts per million; PBC, primary biliary cholangitis; BH, Benjamini-Hochberg adjustment.</w:t>
      </w:r>
    </w:p>
    <w:p>
      <w:r>
        <w:br w:type="page"/>
      </w:r>
    </w:p>
    <w:p>
      <w:pPr>
        <w:pStyle w:val="Heading1"/>
        <w:ind w:firstLine="0"/>
      </w:pPr>
      <w:r>
        <w:t>Discussion</w:t>
      </w:r>
    </w:p>
    <w:p>
      <w:pPr>
        <w:ind w:firstLine="0"/>
        <w:jc w:val="left"/>
      </w:pPr>
      <w:r>
        <w:rPr>
          <w:i w:val="0"/>
        </w:rPr>
        <w:t xml:space="preserve">This study identified three linked conditions for interpreting immune-cell regulatory assignments at PBC loci: association inputs must be coordinated, the supported signal pair must be specified, and stability must be separated from discovery adequacy and mechanism. Input coordination explained some classification changes but left strict H4-to-H3 and H3-to-H4 transitions. Signal-pair coexistence and the </w:t>
      </w:r>
      <w:r>
        <w:rPr>
          <w:i/>
        </w:rPr>
        <w:t>FCRL3</w:t>
      </w:r>
      <w:r>
        <w:rPr>
          <w:i w:val="0"/>
        </w:rPr>
        <w:t xml:space="preserve"> covariate-model reversal showed why a favorable gene-level label was insufficient. The simulations then placed those real-data changes within a truth-known trade-off, rather than treating every lower H4 count as evidence of better inference.</w:t>
      </w:r>
    </w:p>
    <w:p>
      <w:pPr>
        <w:ind w:firstLine="0"/>
        <w:jc w:val="left"/>
      </w:pPr>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[5,6,7,8].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pPr>
        <w:ind w:firstLine="0"/>
        <w:jc w:val="left"/>
      </w:pPr>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pPr>
        <w:ind w:firstLine="0"/>
        <w:jc w:val="left"/>
      </w:pPr>
      <w:r>
        <w:rPr>
          <w:i w:val="0"/>
        </w:rPr>
        <w:t xml:space="preserve">PF10/PF50 results provide a second boundary. Among comparisons with a definite PF10 H4/H3 state, 491 of 520 retained the same state under PF50. This high conditional agreement supports the overall stability of many assignments. Yet </w:t>
      </w:r>
      <w:r>
        <w:rPr>
          <w:i/>
        </w:rPr>
        <w:t>FCRL3</w:t>
      </w:r>
      <w:r>
        <w:rPr>
          <w:i w:val="0"/>
        </w:rPr>
        <w:t>-CD8_ET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 Because factor number changed both the QTL phenotype specification and its matched LD, this contrast did not isolate an LD-only effect.</w:t>
      </w:r>
    </w:p>
    <w:p>
      <w:pPr>
        <w:ind w:firstLine="0"/>
        <w:jc w:val="left"/>
      </w:pPr>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pPr>
        <w:ind w:firstLine="0"/>
        <w:jc w:val="left"/>
      </w:pPr>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pPr>
        <w:ind w:firstLine="0"/>
        <w:jc w:val="left"/>
      </w:pPr>
      <w:r>
        <w:rPr>
          <w:i w:val="0"/>
        </w:rPr>
        <w:t xml:space="preserve">The external axes demonstrate how a reliability framework can strengthen biological interpretation without inflating mechanism. </w:t>
      </w:r>
      <w:r>
        <w:rPr>
          <w:i/>
        </w:rPr>
        <w:t>IL12RB2</w:t>
      </w:r>
      <w:r>
        <w:rPr>
          <w:i w:val="0"/>
        </w:rPr>
        <w:t>-NK was stable across OneK1K configurations, reproduced in TenK10K and supported by FinnGen molecular-QTL strata. FinnGen R13 then supported the same OneK NK/</w:t>
      </w:r>
      <w:r>
        <w:rPr>
          <w:i/>
        </w:rPr>
        <w:t>IL12RB2</w:t>
      </w:r>
      <w:r>
        <w:rPr>
          <w:i w:val="0"/>
        </w:rPr>
        <w:t xml:space="preserve"> association in a different disease study system across the complete prior series and at the source-CS level. Prior PBC studies have also prioritized </w:t>
      </w:r>
      <w:r>
        <w:rPr>
          <w:i/>
        </w:rPr>
        <w:t>IL12RB2</w:t>
      </w:r>
      <w:r>
        <w:rPr>
          <w:i w:val="0"/>
        </w:rPr>
        <w:t xml:space="preserve"> through integrative genetic analyses [9,10],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correlated source observations and the absence of an intervention prevent this triangle from establishing causal mediation.</w:t>
      </w:r>
    </w:p>
    <w:p>
      <w:pPr>
        <w:ind w:firstLine="0"/>
        <w:jc w:val="left"/>
      </w:pPr>
      <w:r>
        <w:t>FCRL3 B-cell sharing was supported in OneK1K and TenK10K, with a consistent lower-expression direction for the risk allele. Independent 2026 work has reported PBC-related FCRL3 evidence in liver B cells and plasma-protein colocalization [11,12].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pPr>
        <w:ind w:firstLine="0"/>
        <w:jc w:val="left"/>
      </w:pPr>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A genotype-expression association within a cell context and an average expression contrast between case and control donors estimate different relationships. The latter also combines cell-state, disease-stage and surgical-control differences. The null corrected result is therefore not a contradiction of the genetic association, but it also cannot be used as affirmative tissue mediation.</w:t>
      </w:r>
    </w:p>
    <w:p>
      <w:pPr>
        <w:ind w:firstLine="0"/>
        <w:jc w:val="left"/>
      </w:pPr>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pPr>
        <w:ind w:firstLine="0"/>
        <w:jc w:val="left"/>
      </w:pPr>
      <w:r>
        <w:rPr>
          <w:i w:val="0"/>
        </w:rPr>
        <w:t>Several limitations define the statistical claim ceiling. Only the high-information subset received multi-signal analysis, and repeated gene-cell comparisons were nested within 47 selected risk regions. Neither 92/642 nor the bidirectional transition counts estimate rates across all PBC comparisons. Real-data transitions have no known causal truth and therefore represent reclassification, not measured error correction. Matched support and disease statistics remove two alternative explanations, but ABF and SuSiE-based procedures still differ in discovery, priors, parameterization and decision rules. The simulation used two empirical 128-variant LD templates, fixed sample sizes and a finite grid; it evaluated single-configuration components rather than directly calibrating the complete cross-L and low-prior gate.</w:t>
      </w:r>
    </w:p>
    <w:p>
      <w:pPr/>
      <w:r>
        <w:t>The effective-N analysis was a bounded stress test of 33 deliberately high-risk comparisons, not a rerun of all 642 comparisons and not evidence that total and effective sample sizes are generally interchangeable. The study also did not compare every available multi-signal colocalization method or ancestry-aware extension; its method claims are restricted to the frozen ABF and SuSiE-based procedures and the tested LD settings.</w:t>
      </w:r>
    </w:p>
    <w:p>
      <w:r>
        <w:rPr>
          <w:i w:val="0"/>
        </w:rPr>
        <w:t xml:space="preserve">The validation layers have distinct ceilings. OneK1K and TenK10K reused the same discovery PBC GWAS. FinnGen R13 supplied a different disease study system with 795 cases, but public metadata could not establish participant non-overlap, and the external analysis was single-causal rather than a second source-LD multi-signal fit. The chromatin triangle lacked a direct eQTL-caQTL posterior, and OMIX001122 provided one processed matrix per condition without spatial coordinates. The liver analysis had five donors per group, non-lesion surgical controls and a bounded target panel. Neither genetic sharing nor tissue detectability establishes that perturbing </w:t>
      </w:r>
      <w:r>
        <w:rPr>
          <w:i/>
        </w:rPr>
        <w:t>IL12RB2</w:t>
      </w:r>
      <w:r>
        <w:rPr>
          <w:i w:val="0"/>
        </w:rPr>
        <w:t xml:space="preserve"> or </w:t>
      </w:r>
      <w:r>
        <w:rPr>
          <w:i/>
        </w:rPr>
        <w:t>FCRL3</w:t>
      </w:r>
      <w:r>
        <w:rPr>
          <w:i w:val="0"/>
        </w:rPr>
        <w:t xml:space="preserve"> alters a PBC-relevant phenotype.</w:t>
      </w:r>
    </w:p>
    <w:p>
      <w:pPr>
        <w:ind w:firstLine="0"/>
        <w:jc w:val="left"/>
      </w:pPr>
      <w:r>
        <w:t>Three tests would resolve distinct remaining uncertainties. First, source-matched multi-signal analysis in a larger external PBC GWAS with documented participant separation would test whether the same disease-QTL signal pairs persist under matched ancestry and variant support. Second, a direct eQTL-caQTL analysis with common variants and source-matched LD would test whether the chromatin and expression associations share a signal beyond their separate disease-sharing edges. Third, perturbing IL12RB2 in NK cells and FCRL3 in B-cell subsets, with non-targeting controls, would test whether altered expression changes immune activation and cholangiocyte injury in a defined coculture model. Reproduced signal identity would strengthen cross-study regulatory association; a perturbation response would address mechanism, and neither would alone establish clinical efficacy.</w:t>
      </w:r>
    </w:p>
    <w:p>
      <w:pPr>
        <w:ind w:firstLine="0"/>
        <w:jc w:val="left"/>
      </w:pPr>
      <w:r>
        <w:rPr>
          <w:i w:val="0"/>
        </w:rPr>
        <w:t xml:space="preserve">At PBC risk loci, coordinated inputs and signal resolution changed which regulatory assignments were supported, while covariate sensitivity and limited credible-set discovery constrained their interpretation. External </w:t>
      </w:r>
      <w:r>
        <w:rPr>
          <w:i/>
        </w:rPr>
        <w:t>IL12RB2</w:t>
      </w:r>
      <w:r>
        <w:rPr>
          <w:i w:val="0"/>
        </w:rPr>
        <w:t xml:space="preserve"> evidence increased confidence in a regulatory association; </w:t>
      </w:r>
      <w:r>
        <w:rPr>
          <w:i/>
        </w:rPr>
        <w:t>FCRL3</w:t>
      </w:r>
      <w:r>
        <w:rPr>
          <w:i w:val="0"/>
        </w:rPr>
        <w:t xml:space="preserve"> exposed both reproducible B-cell sharing and a model-dependent T-cell assignment. Liver data established detectability without corrected disease enrichment. Reporting these layers separately makes functional prioritization more interpretable while preserving the distinction between statistical sharing and mechanism.</w:t>
      </w:r>
    </w:p>
    <w:p>
      <w:pPr>
        <w:pStyle w:val="Heading1"/>
        <w:ind w:firstLine="0"/>
      </w:pPr>
      <w:r>
        <w:t>Methods</w:t>
      </w:r>
    </w:p>
    <w:p>
      <w:pPr>
        <w:pStyle w:val="Heading2"/>
        <w:ind w:firstLine="0"/>
      </w:pPr>
      <w:r>
        <w:t>Study design and governance</w:t>
      </w:r>
    </w:p>
    <w:p>
      <w:pPr>
        <w:ind w:firstLine="0"/>
        <w:jc w:val="left"/>
      </w:pPr>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pPr>
        <w:ind w:firstLine="0"/>
        <w:jc w:val="left"/>
      </w:pPr>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pPr>
        <w:ind w:firstLine="0"/>
        <w:jc w:val="left"/>
      </w:pPr>
      <w:r>
        <w:t>The analysis comprised source validation, harmonization, ABF screening, high-information follow-up, cell-specific LD construction, multi-signal inference, diagnostic review, matched-input comparison, simulations and bounded external and tissue evaluation. The liver analysis preceded the PBC-wide design; signal-semantics and matched-input comparisons were post-result audits. Negative, model-sensitive, coverage-limited and uninformative results were retained.</w:t>
      </w:r>
    </w:p>
    <w:p>
      <w:pPr>
        <w:pStyle w:val="Heading2"/>
        <w:ind w:firstLine="0"/>
      </w:pPr>
      <w:r>
        <w:t>PBC association data and study-derived disease LD</w:t>
      </w:r>
    </w:p>
    <w:p>
      <w:pPr>
        <w:ind w:firstLine="0"/>
        <w:jc w:val="left"/>
      </w:pPr>
      <w:r>
        <w:t>PBC summary statistics were obtained from GWAS Catalog study GCST90061440, representing the GRCh37 European five-panel meta-analysis reported by Cordell and colleagues [2] (https://www.ebi.ac.uk/gwas/studies/GCST90061440).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[13] (https://www.staff.ncl.ac.uk/heather.cordell/GjokaPaper.html).</w:t>
      </w:r>
    </w:p>
    <w:p>
      <w:pPr>
        <w:ind w:firstLine="0"/>
        <w:jc w:val="left"/>
      </w:pPr>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ind w:firstLine="0"/>
      </w:pPr>
      <w:r>
        <w:t>OneK1K expression-QTL data and PBC-wide comparison registry</w:t>
      </w:r>
    </w:p>
    <w:p>
      <w:pPr>
        <w:ind w:firstLine="0"/>
        <w:jc w:val="left"/>
      </w:pPr>
      <w:r>
        <w:t>The cohort origin was the OneK1K single-cell peripheral-blood study [3]. The present reanalysis used the updated 980-donor genotype, covariate and expression resource associated with Xue et al. and Zenodo record 18910121 [14,15].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pPr>
        <w:ind w:firstLine="0"/>
        <w:jc w:val="left"/>
      </w:pPr>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ind w:firstLine="0"/>
      </w:pPr>
      <w:r>
        <w:t>Variant identity, allele alignment and exact support sets</w:t>
      </w:r>
    </w:p>
    <w:p>
      <w:pPr>
        <w:ind w:firstLine="0"/>
        <w:jc w:val="left"/>
      </w:pPr>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pPr>
        <w:ind w:firstLine="0"/>
        <w:jc w:val="left"/>
      </w:pPr>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ind w:firstLine="0"/>
      </w:pPr>
      <w:r>
        <w:t>Historical single-causal ABF screen</w:t>
      </w:r>
    </w:p>
    <w:p>
      <w:pPr>
        <w:ind w:firstLine="0"/>
        <w:jc w:val="left"/>
      </w:pPr>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pPr>
        <w:ind w:firstLine="0"/>
        <w:jc w:val="left"/>
      </w:pPr>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ind w:firstLine="0"/>
      </w:pPr>
      <w:r>
        <w:t>Source-matched QTL LD and current-release model identity</w:t>
      </w:r>
    </w:p>
    <w:p>
      <w:pPr>
        <w:ind w:firstLine="0"/>
        <w:jc w:val="left"/>
      </w:pPr>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left"/>
      </w:pPr>
      <w:r>
        <w:t>G* = [I - C(C^T C)^-1 C^T]G,</w:t>
      </w:r>
    </w:p>
    <w:p>
      <w:pPr>
        <w:ind w:firstLine="0"/>
        <w:jc w:val="left"/>
      </w:pPr>
      <w:r>
        <w:t>and R_QTL = cor(G*).</w:t>
      </w:r>
    </w:p>
    <w:p>
      <w:pPr>
        <w:ind w:firstLine="0"/>
        <w:jc w:val="left"/>
      </w:pPr>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ind w:firstLine="0"/>
      </w:pPr>
      <w:r>
        <w:t>Multi-signal fine-mapping and signal-pair colocalization</w:t>
      </w:r>
    </w:p>
    <w:p>
      <w:pPr>
        <w:ind w:firstLine="0"/>
        <w:jc w:val="left"/>
      </w:pPr>
      <w:r>
        <w:t>Disease and QTL association summaries were fine-mapped with SuSiE-RSS [8], the summary-data extension of the SuSiE model [6]. The primary PF10 model was evaluated at L=5, 10 and 20; PF50 was evaluated at L=10. Fits used estimate_residual_variance=FALSE, estimate_prior_variance=TRUE, max_iter=2000, tol=1x10^-4, 95% credible sets and minimum absolute within-set correlation of 0.5. Disease sample size was 24,510; QTL sample sizes followed the cell-specific donor counts.</w:t>
      </w:r>
    </w:p>
    <w:p>
      <w:pPr/>
      <w:r>
        <w:t>The disease value N=24,510 followed the exact source analysis of the GJOKA logistic-regression statistics, rather than a generic case-control transformation [13]. As a bounded robustness test, we replaced it with the case-control effective sample size Neff=4/(1/Ncase+1/Ncontrol)=21,584.38. The 33 comparisons were frozen before this rerun and comprised all 18 strict matched-input H4/H3 reversals, four manuscript key axes, six comparisons nearest an H4 decision boundary and six high-information model-sensitive or uninformative comparisons, with overlap among these groups. The original N=24,510 results remained primary.</w:t>
      </w:r>
    </w:p>
    <w:p>
      <w:pPr>
        <w:ind w:firstLine="0"/>
        <w:jc w:val="left"/>
      </w:pPr>
      <w:r>
        <w:t>Signal-pair colocalization used coloc.susie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pPr>
        <w:ind w:firstLine="0"/>
        <w:jc w:val="left"/>
      </w:pPr>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ind w:firstLine="0"/>
      </w:pPr>
      <w:r>
        <w:t>Multi-signal diagnostic adjudication</w:t>
      </w:r>
    </w:p>
    <w:p>
      <w:pPr>
        <w:ind w:firstLine="0"/>
        <w:jc w:val="left"/>
      </w:pPr>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ind w:firstLine="0"/>
      </w:pPr>
      <w:r>
        <w:t>Matched-input A0/A1/A2/M attribution design</w:t>
      </w:r>
    </w:p>
    <w:p>
      <w:pPr>
        <w:ind w:firstLine="0"/>
        <w:jc w:val="left"/>
      </w:pPr>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pPr>
        <w:ind w:firstLine="0"/>
        <w:jc w:val="left"/>
      </w:pPr>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pPr>
        <w:ind w:firstLine="0"/>
        <w:jc w:val="left"/>
      </w:pPr>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ind w:firstLine="0"/>
      </w:pPr>
      <w:r>
        <w:t>Simulation design and outcome channels</w:t>
      </w:r>
    </w:p>
    <w:p>
      <w:pPr>
        <w:ind w:firstLine="0"/>
        <w:jc w:val="left"/>
      </w:pPr>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pPr>
        <w:ind w:firstLine="0"/>
        <w:jc w:val="left"/>
      </w:pPr>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pPr>
        <w:ind w:firstLine="0"/>
        <w:jc w:val="left"/>
      </w:pPr>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pPr>
        <w:ind w:firstLine="0"/>
        <w:jc w:val="left"/>
      </w:pPr>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ind w:firstLine="0"/>
      </w:pPr>
      <w:r>
        <w:t>External molecular-QTL evaluation</w:t>
      </w:r>
    </w:p>
    <w:p>
      <w:pPr>
        <w:ind w:firstLine="0"/>
        <w:jc w:val="left"/>
      </w:pPr>
      <w:r>
        <w:t>External evaluation was bounded to the representative IL12RB2-NK and FCRL3 B-cell axes; it was not used to select new genes. TenK10K common-variant cis-eQTL statistics within +/-100 kb were intersected with the same PBC disease summaries [4,16].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pPr>
        <w:ind w:firstLine="0"/>
        <w:jc w:val="left"/>
      </w:pPr>
      <w:r>
        <w:t>FinnGen R12 PBC and molecular-QTL colocalization records were queried through the public outputs of the population-scale immune multiome resource [17]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pPr>
        <w:ind w:firstLine="0"/>
        <w:jc w:val="left"/>
      </w:pPr>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ind w:firstLine="0"/>
      </w:pPr>
      <w:r>
        <w:t>Different-disease-study validation and source credible-set audit</w:t>
      </w:r>
    </w:p>
    <w:p>
      <w:pPr>
        <w:ind w:firstLine="0"/>
        <w:jc w:val="left"/>
      </w:pPr>
      <w:r>
        <w:t>FinnGen R12 and R13 CHIRBIL_PRIM metadata, regional R13 summary statistics and official disease fine-mapping records were obtained from the public release interfaces  (https://r13.finngen.fi/pheno/CHIRBIL_PRIM).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p1=p2=10^-4 and p12=10^-6, 10^-5 or 10^-4. OneK1K QTL credible-set members were then checked directly against the source FinnGen R13 disease credible set.</w:t>
      </w:r>
    </w:p>
    <w:p>
      <w:pPr>
        <w:ind w:firstLine="0"/>
        <w:jc w:val="left"/>
      </w:pPr>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ind w:firstLine="0"/>
      </w:pPr>
      <w:r>
        <w:t>Source-integrated chromatin evidence</w:t>
      </w:r>
    </w:p>
    <w:p>
      <w:pPr>
        <w:ind w:firstLine="0"/>
        <w:jc w:val="left"/>
      </w:pPr>
      <w:r>
        <w:rPr>
          <w:i w:val="0"/>
        </w:rPr>
        <w:t xml:space="preserve">Before querying the full CASCADE outputs, we fixed the 92 stable-H4 comparisons, comprising 27 genes and their corresponding broad cell strata. For those genes, we recorded relevant-cell eQTL availability and returned PBC-eQTL colocalization. The </w:t>
      </w:r>
      <w:r>
        <w:rPr>
          <w:i/>
        </w:rPr>
        <w:t>IL12RB2</w:t>
      </w:r>
      <w:r>
        <w:rPr>
          <w:i w:val="0"/>
        </w:rPr>
        <w:t>-linked peak chr1-67307618-67308670 was prespecified from the earlier source record. We extracted the PBC-eQTL and PBC-caQTL colocalization records in l1.NK, source credible-set membership and the peak-</w:t>
      </w:r>
      <w:r>
        <w:rPr>
          <w:i/>
        </w:rPr>
        <w:t>IL12RB2</w:t>
      </w:r>
      <w:r>
        <w:rPr>
          <w:i w:val="0"/>
        </w:rPr>
        <w:t xml:space="preserve"> link [17]. The disease-eQTL and disease-caQTL edges were evaluated separately. A direct eQTL-caQTL posterior was unavailable and was not inferred from overlapping credible sets. The integrated result was classified as triangular signal coherence rather than chromatin mediation. The reported fasthurdle peak-gene coefficient was 0.140574, with PBMC designated as its best cell context; this link was not treated as separately verified NK-specific linkage.</w:t>
      </w:r>
    </w:p>
    <w:p>
      <w:pPr>
        <w:pStyle w:val="Heading2"/>
        <w:ind w:firstLine="0"/>
      </w:pPr>
      <w:r>
        <w:t>Descriptive spatial-transcriptomic boundary</w:t>
      </w:r>
    </w:p>
    <w:p>
      <w:pPr>
        <w:ind w:firstLine="0"/>
        <w:jc w:val="left"/>
      </w:pPr>
      <w:r>
        <w:t>The public OMIX001122 processed spatial archive was checked at byte level and related to its original PBC study [18] (https://ngdc.cncb.ac.cn/omix/release/OMIX001122).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ind w:firstLine="0"/>
      </w:pPr>
      <w:r>
        <w:t>Donor-level liver target-panel analysis</w:t>
      </w:r>
    </w:p>
    <w:p>
      <w:pPr>
        <w:ind w:firstLine="0"/>
        <w:jc w:val="left"/>
      </w:pPr>
      <w:r>
        <w:t>HRA008003 is an open-access single-cell study of liver and blood in PBC [19] (https://ngdc.cncb.ac.cn/gsa-human/browse/HRA008003). We analyzed liver BAM files from five treatment-naive PBC donors (HRR1849459-HRR1849463) and five non-lesion liver controls obtained during hepatic hemangioma surgery (HRR1849454-HRR1849458). Source sizes and checksums were verified, and each BAM passed samtools quickcheck and tag-schema preflight.</w:t>
      </w:r>
    </w:p>
    <w:p>
      <w:pPr>
        <w:ind w:firstLine="0"/>
        <w:jc w:val="left"/>
      </w:pPr>
      <w:r>
        <w:t>Molecule representatives were counted from records carrying the 10x xf bit 8 flag, a corrected cell barcode and a unique gene assignment; unmapped, secondary and supplementary alignments were excluded. Cell calling used the library-specific order-of-magnitude rule with an expected recovered-cell count of 6,000: the UMI threshold was the ceiling of one tenth of the 99th-percentile count among the 6,000 highest-count barcodes. Called-cell counts had to fall between 2,500 and 7,500, with median total UMI count at least 500. B markers were CD79A, CD79B, MS4A1, CD37, CD74, HLA-DRA, CD19 and CD22; NK markers were NKG7, GNLY, KLRD1, PRF1, GZMB, XCL1 and XCL2. T markers were CD3D, CD3E, TRBC1, TRBC2 and IL7R, and myeloid markers were LST1, TYROBP, FCER1G, CTSS, AIF1 and LYZ. Both lineage rules required at least two detected panel genes and three panel UMIs. B-panel UMIs had to exceed NK, T and myeloid panel counts; NK-panel UMIs had to exceed B and myeloid counts and be at least the T-panel count. Each donor-lineage unit required at least ten cells. Target detectability required at least three target UMIs and two target-positive lineage cells. Target CPM was target UMIs divided by total lineage UMIs multiplied by 10^6.</w:t>
      </w:r>
    </w:p>
    <w:p>
      <w:pPr>
        <w:ind w:firstLine="0"/>
        <w:jc w:val="left"/>
      </w:pPr>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ind w:firstLine="0"/>
      </w:pPr>
      <w:r>
        <w:t>Reproducibility and reporting</w:t>
      </w:r>
    </w:p>
    <w:p>
      <w:pPr>
        <w:ind w:firstLine="0"/>
        <w:jc w:val="left"/>
      </w:pPr>
      <w:r>
        <w:rPr>
          <w:i w:val="0"/>
        </w:rPr>
        <w:t>External inputs were recorded with accession, URL, byte count and available MD5 or locally calculated SHA-256 values. Large third-party files and donor-level genotype data were not mirrored publicly. Code, aggregate results and source manifests are available in the project repository  (https://github.com/1209433622cz-maker/igan-open-regulatory-evidence/tree/r7c3f-full-audit-rebuilt-submission-2026-10-12). Source tables provide the reported estimates and analysis identities, including uncertain and reviewed diagnostic outcomes.</w:t>
      </w:r>
    </w:p>
    <w:p>
      <w:pPr>
        <w:ind w:firstLine="0"/>
        <w:jc w:val="left"/>
      </w:pPr>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2"/>
        <w:ind w:firstLine="0"/>
      </w:pPr>
      <w:r>
        <w:t>Ethics statement</w:t>
      </w:r>
    </w:p>
    <w:p>
      <w:pPr>
        <w:ind w:firstLine="0"/>
        <w:jc w:val="left"/>
      </w:pPr>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1"/>
        <w:ind w:firstLine="0"/>
      </w:pPr>
      <w:r>
        <w:t>Data availability</w:t>
      </w:r>
    </w:p>
    <w:p>
      <w:pPr>
        <w:ind w:firstLine="0"/>
        <w:jc w:val="left"/>
      </w:pPr>
      <w:r>
        <w:t>PBC summary statistics are available through GWAS Catalog study GCST90061440. Study-derived PBC regional statistics and LD are available from the GJOKA archive. OneK1K and TenK10K resources are identified in their cited publications and Zenodo records. FinnGen R13 CHIRBIL_PRIM summary statistics and fine-mapping records are publicly distributed by FinnGen  (https://r13.finngen.fi/pheno/CHIRBIL_PRIM), and CASCADE records are accessible through the FinnGen immune multiome portal [17]. HRA008003 is available through GSA-Human and OMIX001122 through the National Genomics Data Center  (https://ngdc.cncb.ac.cn/omix/release/OMIX001122). Supplementary tables and compact derived outputs accompany this submission. Individual-level genotype, BAM, pseudobulk matrices and third-party source archives are not redistributed.</w:t>
      </w:r>
    </w:p>
    <w:p>
      <w:pPr>
        <w:pStyle w:val="Heading1"/>
        <w:ind w:firstLine="0"/>
      </w:pPr>
      <w:r>
        <w:t>Code availability</w:t>
      </w:r>
    </w:p>
    <w:p>
      <w:pPr>
        <w:ind w:firstLine="0"/>
        <w:jc w:val="left"/>
      </w:pPr>
      <w:r>
        <w:rPr>
          <w:i w:val="0"/>
        </w:rPr>
        <w:t>Analysis code, frozen protocols, aggregate outputs, manifests and source-bound figures are versioned in the public project repository at https://github.com/1209433622cz-maker/igan-open-regulatory-evidence/tree/r7c3f-full-audit-rebuilt-submission-2026-10-12. The release records software environments, checksums and the mapping from manuscript claims to machine-readable evidence.</w:t>
      </w:r>
    </w:p>
    <w:p>
      <w:pPr>
        <w:pStyle w:val="Heading1"/>
        <w:ind w:firstLine="0"/>
      </w:pPr>
      <w:r>
        <w:t>Acknowledgements</w:t>
      </w:r>
    </w:p>
    <w:p>
      <w:pPr>
        <w:ind w:firstLine="0"/>
        <w:jc w:val="left"/>
      </w:pPr>
      <w:r>
        <w:t>This research received no specific grant from any funding agency in the public, commercial or not-for-profit sectors.</w:t>
      </w:r>
    </w:p>
    <w:p>
      <w:pPr>
        <w:pStyle w:val="Heading1"/>
        <w:ind w:firstLine="0"/>
      </w:pPr>
      <w:r>
        <w:t>Author contributions</w:t>
      </w:r>
    </w:p>
    <w:p>
      <w:pPr>
        <w:ind w:firstLine="0"/>
        <w:jc w:val="left"/>
      </w:pPr>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w:t>
      </w:r>
    </w:p>
    <w:p>
      <w:pPr>
        <w:pStyle w:val="Heading1"/>
        <w:ind w:firstLine="0"/>
      </w:pPr>
      <w:r>
        <w:t>Competing interests</w:t>
      </w:r>
    </w:p>
    <w:p>
      <w:pPr>
        <w:ind w:firstLine="0"/>
        <w:jc w:val="left"/>
      </w:pPr>
      <w:r>
        <w:t>The authors declare no competing interests.</w:t>
      </w:r>
    </w:p>
    <w:p>
      <w:pPr>
        <w:pStyle w:val="Heading1"/>
        <w:ind w:firstLine="0"/>
      </w:pPr>
      <w:r>
        <w:t>References</w:t>
      </w:r>
    </w:p>
    <w:p>
      <w:pPr>
        <w:spacing w:line="276" w:lineRule="auto" w:after="80"/>
        <w:ind w:firstLine="0"/>
        <w:jc w:val="left"/>
      </w:pPr>
      <w:r>
        <w:rPr>
          <w:sz w:val="21"/>
        </w:rPr>
      </w:r>
      <w:r>
        <w:rPr>
          <w:sz w:val="21"/>
        </w:rPr>
        <w:t xml:space="preserve">1. Gulamhusein, A. F. &amp; Hirschfield, G. M. Primary biliary cholangitis: pathogenesis and therapeutic opportunities. </w:t>
      </w:r>
      <w:r>
        <w:rPr>
          <w:i/>
          <w:sz w:val="21"/>
        </w:rPr>
        <w:t>Nat. Rev. Gastroenterol. Hepatol.</w:t>
      </w:r>
      <w:r>
        <w:rPr>
          <w:sz w:val="21"/>
        </w:rPr>
        <w:t xml:space="preserve"> </w:t>
      </w:r>
      <w:r>
        <w:rPr>
          <w:b/>
          <w:sz w:val="21"/>
        </w:rPr>
        <w:t>17</w:t>
      </w:r>
      <w:r>
        <w:rPr>
          <w:sz w:val="21"/>
        </w:rPr>
        <w:t>, 93-110 (2020). https://doi.org/10.1038/s41575-019-0226-7.</w:t>
      </w:r>
    </w:p>
    <w:p>
      <w:pPr>
        <w:spacing w:line="276" w:lineRule="auto" w:after="80"/>
        <w:ind w:firstLine="0"/>
        <w:jc w:val="left"/>
      </w:pPr>
      <w:r>
        <w:rPr>
          <w:sz w:val="21"/>
        </w:rPr>
      </w:r>
      <w:r>
        <w:rPr>
          <w:sz w:val="21"/>
        </w:rPr>
        <w:t xml:space="preserve">2. Cordell, H. J. et al. An international genome-wide meta-analysis of primary biliary cholangitis: Novel risk loci and candidate drugs. </w:t>
      </w:r>
      <w:r>
        <w:rPr>
          <w:i/>
          <w:sz w:val="21"/>
        </w:rPr>
        <w:t>J. Hepatol.</w:t>
      </w:r>
      <w:r>
        <w:rPr>
          <w:sz w:val="21"/>
        </w:rPr>
        <w:t xml:space="preserve"> </w:t>
      </w:r>
      <w:r>
        <w:rPr>
          <w:b/>
          <w:sz w:val="21"/>
        </w:rPr>
        <w:t>75</w:t>
      </w:r>
      <w:r>
        <w:rPr>
          <w:sz w:val="21"/>
        </w:rPr>
        <w:t>, 572-581 (2021). https://doi.org/10.1016/j.jhep.2021.04.055.</w:t>
      </w:r>
    </w:p>
    <w:p>
      <w:pPr>
        <w:spacing w:line="276" w:lineRule="auto" w:after="80"/>
        <w:ind w:firstLine="0"/>
        <w:jc w:val="left"/>
      </w:pPr>
      <w:r>
        <w:rPr>
          <w:sz w:val="21"/>
        </w:rPr>
      </w:r>
      <w:r>
        <w:rPr>
          <w:sz w:val="21"/>
        </w:rPr>
        <w:t xml:space="preserve">3. Yazar, S. et al. Single-cell eQTL mapping identifies cell type-specific genetic control of autoimmune disease. </w:t>
      </w:r>
      <w:r>
        <w:rPr>
          <w:i/>
          <w:sz w:val="21"/>
        </w:rPr>
        <w:t>Science</w:t>
      </w:r>
      <w:r>
        <w:rPr>
          <w:sz w:val="21"/>
        </w:rPr>
        <w:t xml:space="preserve"> </w:t>
      </w:r>
      <w:r>
        <w:rPr>
          <w:b/>
          <w:sz w:val="21"/>
        </w:rPr>
        <w:t>376</w:t>
      </w:r>
      <w:r>
        <w:rPr>
          <w:sz w:val="21"/>
        </w:rPr>
        <w:t>, eabf3041 (2022). https://doi.org/10.1126/science.abf3041.</w:t>
      </w:r>
    </w:p>
    <w:p>
      <w:pPr>
        <w:spacing w:line="276" w:lineRule="auto" w:after="80"/>
        <w:ind w:firstLine="0"/>
        <w:jc w:val="left"/>
      </w:pPr>
      <w:r>
        <w:rPr>
          <w:sz w:val="21"/>
        </w:rPr>
        <w:t>4. Cuomo, A. S. E. et al. Impact of rare and common genetic variation on cell type-specific gene expression in human blood. Preprint at https://doi.org/10.1101/2025.03.20.25324352 (2025).</w:t>
      </w:r>
    </w:p>
    <w:p>
      <w:pPr>
        <w:spacing w:line="276" w:lineRule="auto" w:after="80"/>
        <w:ind w:firstLine="0"/>
        <w:jc w:val="left"/>
      </w:pPr>
      <w:r>
        <w:rPr>
          <w:sz w:val="21"/>
        </w:rPr>
      </w:r>
      <w:r>
        <w:rPr>
          <w:sz w:val="21"/>
        </w:rPr>
        <w:t xml:space="preserve">5. Giambartolomei, C. et al. Bayesian Test for Colocalisation between Pairs of Genetic Association Studies Using Summary Statistics. </w:t>
      </w:r>
      <w:r>
        <w:rPr>
          <w:i/>
          <w:sz w:val="21"/>
        </w:rPr>
        <w:t>PLoS Genet.</w:t>
      </w:r>
      <w:r>
        <w:rPr>
          <w:sz w:val="21"/>
        </w:rPr>
        <w:t xml:space="preserve"> </w:t>
      </w:r>
      <w:r>
        <w:rPr>
          <w:b/>
          <w:sz w:val="21"/>
        </w:rPr>
        <w:t>10</w:t>
      </w:r>
      <w:r>
        <w:rPr>
          <w:sz w:val="21"/>
        </w:rPr>
        <w:t>, e1004383 (2014). https://doi.org/10.1371/journal.pgen.1004383.</w:t>
      </w:r>
    </w:p>
    <w:p>
      <w:pPr>
        <w:spacing w:line="276" w:lineRule="auto" w:after="80"/>
        <w:ind w:firstLine="0"/>
        <w:jc w:val="left"/>
      </w:pPr>
      <w:r>
        <w:rPr>
          <w:sz w:val="21"/>
        </w:rPr>
      </w:r>
      <w:r>
        <w:rPr>
          <w:sz w:val="21"/>
        </w:rPr>
        <w:t xml:space="preserve">6. Wang, G., Sarkar, A., Carbonetto, P. &amp; Stephens, M. A Simple New Approach to Variable Selection in Regression, with Application to Genetic Fine Mapping. </w:t>
      </w:r>
      <w:r>
        <w:rPr>
          <w:i/>
          <w:sz w:val="21"/>
        </w:rPr>
        <w:t>J. R. Stat. Soc. B</w:t>
      </w:r>
      <w:r>
        <w:rPr>
          <w:sz w:val="21"/>
        </w:rPr>
        <w:t xml:space="preserve"> </w:t>
      </w:r>
      <w:r>
        <w:rPr>
          <w:b/>
          <w:sz w:val="21"/>
        </w:rPr>
        <w:t>82</w:t>
      </w:r>
      <w:r>
        <w:rPr>
          <w:sz w:val="21"/>
        </w:rPr>
        <w:t>, 1273-1300 (2020). https://doi.org/10.1111/rssb.12388.</w:t>
      </w:r>
    </w:p>
    <w:p>
      <w:pPr>
        <w:spacing w:line="276" w:lineRule="auto" w:after="80"/>
        <w:ind w:firstLine="0"/>
        <w:jc w:val="left"/>
      </w:pPr>
      <w:r>
        <w:rPr>
          <w:sz w:val="21"/>
        </w:rPr>
      </w:r>
      <w:r>
        <w:rPr>
          <w:sz w:val="21"/>
        </w:rPr>
        <w:t xml:space="preserve">7. Wallace, C. A more accurate method for colocalisation analysis allowing for multiple causal variants. </w:t>
      </w:r>
      <w:r>
        <w:rPr>
          <w:i/>
          <w:sz w:val="21"/>
        </w:rPr>
        <w:t>PLoS Genet.</w:t>
      </w:r>
      <w:r>
        <w:rPr>
          <w:sz w:val="21"/>
        </w:rPr>
        <w:t xml:space="preserve"> </w:t>
      </w:r>
      <w:r>
        <w:rPr>
          <w:b/>
          <w:sz w:val="21"/>
        </w:rPr>
        <w:t>17</w:t>
      </w:r>
      <w:r>
        <w:rPr>
          <w:sz w:val="21"/>
        </w:rPr>
        <w:t>, e1009440 (2021). https://doi.org/10.1371/journal.pgen.1009440.</w:t>
      </w:r>
    </w:p>
    <w:p>
      <w:pPr>
        <w:spacing w:line="276" w:lineRule="auto" w:after="80"/>
        <w:ind w:firstLine="0"/>
        <w:jc w:val="left"/>
      </w:pPr>
      <w:r>
        <w:rPr>
          <w:sz w:val="21"/>
        </w:rPr>
      </w:r>
      <w:r>
        <w:rPr>
          <w:sz w:val="21"/>
        </w:rPr>
        <w:t xml:space="preserve">8. Zou, Y., Carbonetto, P., Wang, G. &amp; Stephens, M. Fine-mapping from summary data with the “Sum of Single Effects” model. </w:t>
      </w:r>
      <w:r>
        <w:rPr>
          <w:i/>
          <w:sz w:val="21"/>
        </w:rPr>
        <w:t>PLoS Genet.</w:t>
      </w:r>
      <w:r>
        <w:rPr>
          <w:sz w:val="21"/>
        </w:rPr>
        <w:t xml:space="preserve"> </w:t>
      </w:r>
      <w:r>
        <w:rPr>
          <w:b/>
          <w:sz w:val="21"/>
        </w:rPr>
        <w:t>18</w:t>
      </w:r>
      <w:r>
        <w:rPr>
          <w:sz w:val="21"/>
        </w:rPr>
        <w:t>, e1010299 (2022). https://doi.org/10.1371/journal.pgen.1010299.</w:t>
      </w:r>
    </w:p>
    <w:p>
      <w:pPr>
        <w:spacing w:line="276" w:lineRule="auto" w:after="80"/>
        <w:ind w:firstLine="0"/>
        <w:jc w:val="left"/>
      </w:pPr>
      <w:r>
        <w:rPr>
          <w:sz w:val="21"/>
        </w:rPr>
      </w:r>
      <w:r>
        <w:rPr>
          <w:sz w:val="21"/>
        </w:rPr>
        <w:t xml:space="preserve">9. Wang, Q., Yan, H., Wang, N. &amp; Yuan, J. Causal genetics prioritizes therapeutic targets and blood signatures in primary biliary cholangitis. </w:t>
      </w:r>
      <w:r>
        <w:rPr>
          <w:i/>
          <w:sz w:val="21"/>
        </w:rPr>
        <w:t>npj Syst. Biol. Appl.</w:t>
      </w:r>
      <w:r>
        <w:rPr>
          <w:sz w:val="21"/>
        </w:rPr>
        <w:t xml:space="preserve"> (2026). https://doi.org/10.1038/s41540-026-00817-w.</w:t>
      </w:r>
    </w:p>
    <w:p>
      <w:pPr>
        <w:spacing w:line="276" w:lineRule="auto" w:after="80"/>
        <w:ind w:firstLine="0"/>
        <w:jc w:val="left"/>
      </w:pPr>
      <w:r>
        <w:rPr>
          <w:sz w:val="21"/>
        </w:rPr>
      </w:r>
      <w:r>
        <w:rPr>
          <w:sz w:val="21"/>
        </w:rPr>
        <w:t xml:space="preserve">10. Lin, Y. et al. Genetic mechanisms of primary biliary cholangitis and its association with immune cells using mendelian randomization and biological annotation. </w:t>
      </w:r>
      <w:r>
        <w:rPr>
          <w:i/>
          <w:sz w:val="21"/>
        </w:rPr>
        <w:t>Medicine</w:t>
      </w:r>
      <w:r>
        <w:rPr>
          <w:sz w:val="21"/>
        </w:rPr>
        <w:t xml:space="preserve"> </w:t>
      </w:r>
      <w:r>
        <w:rPr>
          <w:b/>
          <w:sz w:val="21"/>
        </w:rPr>
        <w:t>105</w:t>
      </w:r>
      <w:r>
        <w:rPr>
          <w:sz w:val="21"/>
        </w:rPr>
        <w:t>, e49146 (2026). https://doi.org/10.1097/MD.0000000000049146.</w:t>
      </w:r>
    </w:p>
    <w:p>
      <w:pPr>
        <w:spacing w:line="276" w:lineRule="auto" w:after="80"/>
        <w:ind w:firstLine="0"/>
        <w:jc w:val="left"/>
      </w:pPr>
      <w:r>
        <w:rPr>
          <w:sz w:val="21"/>
        </w:rPr>
      </w:r>
      <w:r>
        <w:rPr>
          <w:sz w:val="21"/>
        </w:rPr>
        <w:t xml:space="preserve">11. Han, Z. et al. FCRL3 as a potential link between Benzo[a]pyrene exposure and primary biliary cholangitis: insights from comparative toxicogenomics and multi-omics analysis. </w:t>
      </w:r>
      <w:r>
        <w:rPr>
          <w:i/>
          <w:sz w:val="21"/>
        </w:rPr>
        <w:t>BMC Gastroenterol.</w:t>
      </w:r>
      <w:r>
        <w:rPr>
          <w:sz w:val="21"/>
        </w:rPr>
        <w:t xml:space="preserve"> </w:t>
      </w:r>
      <w:r>
        <w:rPr>
          <w:b/>
          <w:sz w:val="21"/>
        </w:rPr>
        <w:t>26</w:t>
      </w:r>
      <w:r>
        <w:rPr>
          <w:sz w:val="21"/>
        </w:rPr>
        <w:t>, 101 (2026). https://doi.org/10.1186/s12876-026-04614-x.</w:t>
      </w:r>
    </w:p>
    <w:p>
      <w:pPr>
        <w:spacing w:line="276" w:lineRule="auto" w:after="80"/>
        <w:ind w:firstLine="0"/>
        <w:jc w:val="left"/>
      </w:pPr>
      <w:r>
        <w:rPr>
          <w:sz w:val="21"/>
        </w:rPr>
      </w:r>
      <w:r>
        <w:rPr>
          <w:sz w:val="21"/>
        </w:rPr>
        <w:t xml:space="preserve">12. Xi, J. et al. Exploration and discovery of treatment targets for primary biliary cholangitis based on plasma and cerebrospinal fluid proteomics: A multicenter mendelian randomization study. </w:t>
      </w:r>
      <w:r>
        <w:rPr>
          <w:i/>
          <w:sz w:val="21"/>
        </w:rPr>
        <w:t>PLoS One</w:t>
      </w:r>
      <w:r>
        <w:rPr>
          <w:sz w:val="21"/>
        </w:rPr>
        <w:t xml:space="preserve"> </w:t>
      </w:r>
      <w:r>
        <w:rPr>
          <w:b/>
          <w:sz w:val="21"/>
        </w:rPr>
        <w:t>21</w:t>
      </w:r>
      <w:r>
        <w:rPr>
          <w:sz w:val="21"/>
        </w:rPr>
        <w:t>, e0340166 (2026). https://doi.org/10.1371/journal.pone.0340166.</w:t>
      </w:r>
    </w:p>
    <w:p>
      <w:pPr>
        <w:spacing w:line="276" w:lineRule="auto" w:after="80"/>
        <w:ind w:firstLine="0"/>
        <w:jc w:val="left"/>
      </w:pPr>
      <w:r>
        <w:rPr>
          <w:sz w:val="21"/>
        </w:rPr>
      </w:r>
      <w:r>
        <w:rPr>
          <w:sz w:val="21"/>
        </w:rPr>
        <w:t xml:space="preserve">13. Gjoka, A. &amp; Cordell, H. J. Fine‐Mapping the Results From Genome‐Wide Association Studies of Primary Biliary Cholangitis Using SuSiE and h2‐D2. </w:t>
      </w:r>
      <w:r>
        <w:rPr>
          <w:i/>
          <w:sz w:val="21"/>
        </w:rPr>
        <w:t>Genet. Epidemiol.</w:t>
      </w:r>
      <w:r>
        <w:rPr>
          <w:sz w:val="21"/>
        </w:rPr>
        <w:t xml:space="preserve"> </w:t>
      </w:r>
      <w:r>
        <w:rPr>
          <w:b/>
          <w:sz w:val="21"/>
        </w:rPr>
        <w:t>49</w:t>
      </w:r>
      <w:r>
        <w:rPr>
          <w:sz w:val="21"/>
        </w:rPr>
        <w:t>, e22592 (2025). https://doi.org/10.1002/gepi.22592.</w:t>
      </w:r>
    </w:p>
    <w:p>
      <w:pPr>
        <w:spacing w:line="276" w:lineRule="auto" w:after="80"/>
        <w:ind w:firstLine="0"/>
        <w:jc w:val="left"/>
      </w:pPr>
      <w:r>
        <w:rPr>
          <w:sz w:val="21"/>
        </w:rPr>
      </w:r>
      <w:r>
        <w:rPr>
          <w:sz w:val="21"/>
        </w:rPr>
        <w:t xml:space="preserve">14. Xue, A. et al. Genetic variants associated with cell-type-specific intra-individual gene expression variability reveal mechanisms of genome regulation. </w:t>
      </w:r>
      <w:r>
        <w:rPr>
          <w:i/>
          <w:sz w:val="21"/>
        </w:rPr>
        <w:t>Nat. Commun.</w:t>
      </w:r>
      <w:r>
        <w:rPr>
          <w:sz w:val="21"/>
        </w:rPr>
        <w:t xml:space="preserve"> (2026). https://doi.org/10.1038/s41467-026-77453-9.</w:t>
      </w:r>
    </w:p>
    <w:p>
      <w:pPr>
        <w:spacing w:line="276" w:lineRule="auto" w:after="80"/>
        <w:ind w:firstLine="0"/>
        <w:jc w:val="left"/>
      </w:pPr>
      <w:r>
        <w:rPr>
          <w:sz w:val="21"/>
        </w:rPr>
        <w:t>15. Xue, A. et al. OneK1K cell-specific cis-eQTL summary statistics, genotypes and covariates. Zenodo https://doi.org/10.5281/zenodo.18910121 (2026).</w:t>
      </w:r>
    </w:p>
    <w:p>
      <w:pPr>
        <w:spacing w:line="276" w:lineRule="auto" w:after="80"/>
        <w:ind w:firstLine="0"/>
        <w:jc w:val="left"/>
      </w:pPr>
      <w:r>
        <w:rPr>
          <w:sz w:val="21"/>
        </w:rPr>
        <w:t>16. Cuomo, A. S. E. et al. TenK10K phase 1 molecular-QTL and fine-mapping resources. Zenodo https://doi.org/10.5281/zenodo.18221260 (2026).</w:t>
      </w:r>
    </w:p>
    <w:p>
      <w:pPr>
        <w:spacing w:line="276" w:lineRule="auto" w:after="80"/>
        <w:ind w:firstLine="0"/>
        <w:jc w:val="left"/>
      </w:pPr>
      <w:r>
        <w:rPr>
          <w:sz w:val="21"/>
        </w:rPr>
      </w:r>
      <w:r>
        <w:rPr>
          <w:sz w:val="21"/>
        </w:rPr>
        <w:t xml:space="preserve">17. Kanai, M. et al. Population-scale immune multiome atlas reveals regulatory disease mechanisms. </w:t>
      </w:r>
      <w:r>
        <w:rPr>
          <w:i/>
          <w:sz w:val="21"/>
        </w:rPr>
        <w:t>Nature</w:t>
      </w:r>
      <w:r>
        <w:rPr>
          <w:sz w:val="21"/>
        </w:rPr>
        <w:t xml:space="preserve"> (2026). https://doi.org/10.1038/s41586-026-11078-2.</w:t>
      </w:r>
    </w:p>
    <w:p>
      <w:pPr>
        <w:spacing w:line="276" w:lineRule="auto" w:after="80"/>
        <w:ind w:firstLine="0"/>
        <w:jc w:val="left"/>
      </w:pPr>
      <w:r>
        <w:rPr>
          <w:sz w:val="21"/>
        </w:rPr>
      </w:r>
      <w:r>
        <w:rPr>
          <w:sz w:val="21"/>
        </w:rPr>
        <w:t xml:space="preserve">18. Li, X. et al. Unique DUOX2+ACE2+ small cholangiocytes are pathogenic targets for primary biliary cholangitis. </w:t>
      </w:r>
      <w:r>
        <w:rPr>
          <w:i/>
          <w:sz w:val="21"/>
        </w:rPr>
        <w:t>Nat. Commun.</w:t>
      </w:r>
      <w:r>
        <w:rPr>
          <w:sz w:val="21"/>
        </w:rPr>
        <w:t xml:space="preserve"> </w:t>
      </w:r>
      <w:r>
        <w:rPr>
          <w:b/>
          <w:sz w:val="21"/>
        </w:rPr>
        <w:t>14</w:t>
      </w:r>
      <w:r>
        <w:rPr>
          <w:sz w:val="21"/>
        </w:rPr>
        <w:t>, 29 (2023). https://doi.org/10.1038/s41467-022-34606-w.</w:t>
      </w:r>
    </w:p>
    <w:p>
      <w:pPr>
        <w:spacing w:line="276" w:lineRule="auto" w:after="80"/>
        <w:ind w:firstLine="0"/>
        <w:jc w:val="left"/>
      </w:pPr>
      <w:r>
        <w:rPr>
          <w:sz w:val="21"/>
        </w:rPr>
      </w:r>
      <w:r>
        <w:rPr>
          <w:sz w:val="21"/>
        </w:rPr>
        <w:t xml:space="preserve">19. Jin, C. et al. Single-cell RNA sequencing reveals the pro-inflammatory roles of liver-resident Th1-like cells in primary biliary cholangitis. </w:t>
      </w:r>
      <w:r>
        <w:rPr>
          <w:i/>
          <w:sz w:val="21"/>
        </w:rPr>
        <w:t>Nat. Commun.</w:t>
      </w:r>
      <w:r>
        <w:rPr>
          <w:sz w:val="21"/>
        </w:rPr>
        <w:t xml:space="preserve"> </w:t>
      </w:r>
      <w:r>
        <w:rPr>
          <w:b/>
          <w:sz w:val="21"/>
        </w:rPr>
        <w:t>15</w:t>
      </w:r>
      <w:r>
        <w:rPr>
          <w:sz w:val="21"/>
        </w:rPr>
        <w:t>, 8690 (2024). https://doi.org/10.1038/s41467-024-53104-9.</w:t>
      </w:r>
    </w:p>
    <w:p>
      <w:r>
        <w:br w:type="page"/>
      </w:r>
    </w:p>
    <w:p>
      <w:pPr>
        <w:pStyle w:val="Heading1"/>
      </w:pPr>
      <w:r>
        <w:t>Supplementary information</w:t>
      </w:r>
    </w:p>
    <w:p>
      <w:r>
        <w:t>Supplementary Information provides the data dictionary and file map. Supplementary Data 1 contains ten worksheet views (S1-S10). Source Data 1 supplies the complete primary machine-readable tables, including the full screening, signal-pair and simulation records; Source Data 2 supplies the external disease-study and chromatin evidence family (S11). These files contain aggregate, shareable outputs and do not redistribute donor genotypes or source BAMs. Supplementary Figures S1-S3 provide complete adjacent-arm transitions, LD-dependent simulation rates and repeated-release disease credible-set stability.</w:t>
      </w:r>
      <w:r>
        <w:t xml:space="preserve"> Source Data 3 contains the frozen 33-comparison disease-N robustness workload, state comparison and disease credible-set identity audit.</w:t>
      </w:r>
    </w:p>
    <w:sectPr w:rsidR="00FC693F" w:rsidRPr="0006063C" w:rsidSect="00034616">
      <w:footerReference w:type="default" r:id="rId9"/>
      <w:pgSz w:w="11909" w:h="16834"/>
      <w:pgMar w:top="1224" w:right="1325" w:bottom="1224" w:left="1325"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Times New Roman" w:hAnsi="Times New Roman"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Times New Roman" w:hAnsi="Times New Roman"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52" w:lineRule="auto" w:after="120"/>
      <w:ind w:firstLine="0"/>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matched multisignal colocalization clarifies regulatory assignments at primary biliary cholangitis loci</dc:title>
  <dc:subject>npj Genomic Medicine submission candidate</dc:subject>
  <dc:creator>Zhi Chen; Teng Qi</dc:creator>
  <cp:keywords>PBC; colocalization; eQTL; caQTL;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