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Please consider our Article, “Input matched multisignal colocalization clarifies regulatory assignments at primary biliary cholangitis loci”, for npj Genomic Medicine.</w:t>
      </w:r>
    </w:p>
    <w:p>
      <w:r>
        <w:t>Regulatory gene prioritization can change when colocalization inputs and signal models differ. Using primary biliary cholangitis as a fixed disease context, we assembled a traceable PBC-wide screen and evaluated a protocol-frozen high-information subset. The central contribution is an empirical reliability assessment: exact input matching separates support-set and disease-statistic changes from residual bidirectional reclassification, while signal-pair coexistence and covariate sensitivity limit gene-level interpretation.</w:t>
      </w:r>
    </w:p>
    <w:p>
      <w:r>
        <w:t>Truth-known simulations reveal both reduced false sharing and reduced shared-signal recovery, with credible-set discovery reported separately. External disease-study and linked chromatin evidence strengthen the IL12RB2 association within explicit independence and mediation limits. Donor-level liver expression establishes detectability without corrected disease enrichment. This combination is intended to inform defensible functional prioritization; it does not propose a universally superior new algorithm, a newly discovered PBC gene or an established treatment mechanism.</w:t>
      </w:r>
    </w:p>
    <w:p>
      <w:r>
        <w:t>The manuscript is original and is not under consideration elsewhere. The author-confirmed declarations are no specific funding, no competing interests and no additional ethics approval for this secondary analysis of public de-identified data. Generative-AI assistance is disclosed in Methods. Code, aggregate evidence and source provenance are available in the public repository; third-party individual-level inputs are not redistributed.</w:t>
      </w:r>
    </w:p>
    <w:p>
      <w:r>
        <w:t>Corresponding author: Teng Qi</w:t>
        <w:br/>
        <w:t>tengqi@link.cuhk.edu.cn</w:t>
        <w:br/>
        <w:t>School of Medicine, The Chinese University of Hong Kong, Shenzhen</w:t>
      </w:r>
    </w:p>
    <w:p>
      <w:r>
        <w:t>Sincerely,</w:t>
        <w:br/>
        <w:t>Zhi Chen and Teng Qi</w:t>
      </w:r>
    </w:p>
    <w:sectPr w:rsidR="00FC693F" w:rsidRPr="0006063C" w:rsidSect="00034616">
      <w:footerReference w:type="default" r:id="rId9"/>
      <w:pgSz w:w="11909" w:h="16834"/>
      <w:pgMar w:top="1224" w:right="1325" w:bottom="1224" w:left="13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  <w:ind w:firstLine="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Times New Roman" w:hAnsi="Times New Roman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Times New Roman" w:hAnsi="Times New Roman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2" w:lineRule="auto" w:before="0"/>
      <w:contextualSpacing/>
    </w:pPr>
    <w:rPr>
      <w:rFonts w:asciiTheme="majorHAnsi" w:eastAsiaTheme="majorEastAsia" w:hAnsiTheme="majorHAnsi" w:cstheme="majorBidi" w:ascii="Times New Roman" w:hAnsi="Times New Roman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80"/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69" w:lineRule="auto" w:after="80"/>
      <w:contextualSpacing/>
    </w:pPr>
    <w:rPr>
      <w:rFonts w:ascii="Times New Roman" w:hAnsi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line="252" w:lineRule="auto" w:after="120"/>
      <w:ind w:firstLine="0"/>
    </w:pPr>
    <w:rPr>
      <w:rFonts w:ascii="Arial" w:hAnsi="Arial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npj Genomic Medicine</dc:title>
  <dc:subject>npj Genomic Medicine cover letter</dc:subject>
  <dc:creator>Zhi Chen; Teng Qi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